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379"/>
        <w:gridCol w:w="5977"/>
      </w:tblGrid>
      <w:tr w:rsidR="000B57F2" w:rsidRPr="000B57F2" w:rsidTr="003F3DDC">
        <w:tc>
          <w:tcPr>
            <w:tcW w:w="3379" w:type="dxa"/>
          </w:tcPr>
          <w:p w:rsidR="000B57F2" w:rsidRPr="000B57F2" w:rsidRDefault="000B57F2" w:rsidP="000B57F2">
            <w:pPr>
              <w:autoSpaceDE w:val="0"/>
              <w:autoSpaceDN w:val="0"/>
              <w:adjustRightInd w:val="0"/>
              <w:spacing w:after="0" w:line="240" w:lineRule="auto"/>
              <w:jc w:val="center"/>
              <w:rPr>
                <w:rFonts w:ascii="Times New Roman" w:eastAsia="Times New Roman" w:hAnsi="Times New Roman" w:cs="Times New Roman"/>
                <w:b/>
                <w:sz w:val="26"/>
                <w:szCs w:val="28"/>
                <w:lang w:val="en-US"/>
              </w:rPr>
            </w:pPr>
            <w:r w:rsidRPr="000B57F2">
              <w:rPr>
                <w:rFonts w:ascii="Times New Roman" w:eastAsia="Times New Roman" w:hAnsi="Times New Roman" w:cs="Times New Roman"/>
                <w:b/>
                <w:sz w:val="26"/>
                <w:szCs w:val="28"/>
                <w:lang w:val="en-US"/>
              </w:rPr>
              <w:t>HỘI ĐỒNG NHÂN DÂN</w:t>
            </w:r>
          </w:p>
          <w:p w:rsidR="000B57F2" w:rsidRPr="000B57F2" w:rsidRDefault="000B57F2" w:rsidP="000B57F2">
            <w:pPr>
              <w:autoSpaceDE w:val="0"/>
              <w:autoSpaceDN w:val="0"/>
              <w:adjustRightInd w:val="0"/>
              <w:spacing w:after="0" w:line="240" w:lineRule="auto"/>
              <w:jc w:val="center"/>
              <w:rPr>
                <w:rFonts w:ascii="Times New Roman" w:eastAsia="Times New Roman" w:hAnsi="Times New Roman" w:cs="Times New Roman"/>
                <w:b/>
                <w:sz w:val="26"/>
                <w:szCs w:val="28"/>
                <w:lang w:val="en-US"/>
              </w:rPr>
            </w:pPr>
            <w:r w:rsidRPr="000B57F2">
              <w:rPr>
                <w:rFonts w:ascii="Times New Roman" w:eastAsia="Times New Roman" w:hAnsi="Times New Roman" w:cs="Times New Roman"/>
                <w:b/>
                <w:sz w:val="26"/>
                <w:szCs w:val="28"/>
                <w:lang w:val="en-US"/>
              </w:rPr>
              <w:t>TỈNH SƠN LA</w:t>
            </w:r>
          </w:p>
          <w:p w:rsidR="000B57F2" w:rsidRPr="000B57F2" w:rsidRDefault="000B57F2" w:rsidP="000B57F2">
            <w:pPr>
              <w:autoSpaceDE w:val="0"/>
              <w:autoSpaceDN w:val="0"/>
              <w:adjustRightInd w:val="0"/>
              <w:spacing w:before="240" w:after="0" w:line="240" w:lineRule="auto"/>
              <w:jc w:val="center"/>
              <w:rPr>
                <w:rFonts w:ascii="Times New Roman" w:eastAsia="Times New Roman" w:hAnsi="Times New Roman" w:cs="Times New Roman"/>
                <w:sz w:val="28"/>
                <w:szCs w:val="28"/>
                <w:lang w:val="en-US"/>
              </w:rPr>
            </w:pPr>
            <w:r w:rsidRPr="00FE1DDC">
              <w:rPr>
                <w:rFonts w:ascii="Times New Roman" w:eastAsia="Times New Roman" w:hAnsi="Times New Roman" w:cs="Times New Roman"/>
                <w:noProof/>
                <w:sz w:val="28"/>
                <w:szCs w:val="28"/>
                <w:lang w:eastAsia="vi-VN"/>
              </w:rPr>
              <mc:AlternateContent>
                <mc:Choice Requires="wps">
                  <w:drawing>
                    <wp:anchor distT="0" distB="0" distL="114300" distR="114300" simplePos="0" relativeHeight="251661312" behindDoc="0" locked="0" layoutInCell="1" allowOverlap="1" wp14:anchorId="2A0B2217" wp14:editId="0827A41A">
                      <wp:simplePos x="0" y="0"/>
                      <wp:positionH relativeFrom="column">
                        <wp:posOffset>718185</wp:posOffset>
                      </wp:positionH>
                      <wp:positionV relativeFrom="paragraph">
                        <wp:posOffset>20320</wp:posOffset>
                      </wp:positionV>
                      <wp:extent cx="490855" cy="0"/>
                      <wp:effectExtent l="10795" t="12065" r="12700"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1.6pt" to="95.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T5GwIAADU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"/>
                  </w:pict>
                </mc:Fallback>
              </mc:AlternateContent>
            </w:r>
            <w:r w:rsidRPr="00FE1DDC">
              <w:rPr>
                <w:rFonts w:ascii="Times New Roman" w:eastAsia="Times New Roman" w:hAnsi="Times New Roman" w:cs="Times New Roman"/>
                <w:sz w:val="28"/>
                <w:szCs w:val="28"/>
                <w:lang w:val="en-US"/>
              </w:rPr>
              <w:t>Số: 70/2023/NQ-HĐND</w:t>
            </w:r>
          </w:p>
        </w:tc>
        <w:tc>
          <w:tcPr>
            <w:tcW w:w="5977" w:type="dxa"/>
          </w:tcPr>
          <w:p w:rsidR="000B57F2" w:rsidRPr="000B57F2" w:rsidRDefault="000B57F2" w:rsidP="000B57F2">
            <w:pPr>
              <w:autoSpaceDE w:val="0"/>
              <w:autoSpaceDN w:val="0"/>
              <w:adjustRightInd w:val="0"/>
              <w:spacing w:after="0" w:line="240" w:lineRule="auto"/>
              <w:jc w:val="center"/>
              <w:rPr>
                <w:rFonts w:ascii="Times New Roman" w:eastAsia="Times New Roman" w:hAnsi="Times New Roman" w:cs="Times New Roman"/>
                <w:b/>
                <w:sz w:val="26"/>
                <w:szCs w:val="28"/>
                <w:lang w:val="en-US"/>
              </w:rPr>
            </w:pPr>
            <w:r w:rsidRPr="000B57F2">
              <w:rPr>
                <w:rFonts w:ascii="Times New Roman" w:eastAsia="Times New Roman" w:hAnsi="Times New Roman" w:cs="Times New Roman"/>
                <w:b/>
                <w:sz w:val="26"/>
                <w:szCs w:val="28"/>
                <w:lang w:val="en-US"/>
              </w:rPr>
              <w:t>CỘNG HOÀ XÃ HỘI CHỦ NGHĨA VIỆT NAM</w:t>
            </w:r>
          </w:p>
          <w:p w:rsidR="000B57F2" w:rsidRPr="000B57F2" w:rsidRDefault="000B57F2" w:rsidP="000B57F2">
            <w:pPr>
              <w:autoSpaceDE w:val="0"/>
              <w:autoSpaceDN w:val="0"/>
              <w:adjustRightInd w:val="0"/>
              <w:spacing w:after="0" w:line="240" w:lineRule="auto"/>
              <w:jc w:val="center"/>
              <w:rPr>
                <w:rFonts w:ascii="Times New Roman" w:eastAsia="Times New Roman" w:hAnsi="Times New Roman" w:cs="Times New Roman"/>
                <w:b/>
                <w:sz w:val="28"/>
                <w:szCs w:val="26"/>
                <w:lang w:val="en-US"/>
              </w:rPr>
            </w:pPr>
            <w:r w:rsidRPr="000B57F2">
              <w:rPr>
                <w:rFonts w:ascii="Times New Roman" w:eastAsia="Times New Roman" w:hAnsi="Times New Roman" w:cs="Times New Roman"/>
                <w:b/>
                <w:sz w:val="28"/>
                <w:szCs w:val="26"/>
                <w:lang w:val="en-US"/>
              </w:rPr>
              <w:t>Độc lập - Tự do - Hạnh phúc</w:t>
            </w:r>
          </w:p>
          <w:p w:rsidR="000B57F2" w:rsidRPr="000B57F2" w:rsidRDefault="000B57F2" w:rsidP="000B57F2">
            <w:pPr>
              <w:autoSpaceDE w:val="0"/>
              <w:autoSpaceDN w:val="0"/>
              <w:adjustRightInd w:val="0"/>
              <w:spacing w:before="240" w:after="0" w:line="240" w:lineRule="auto"/>
              <w:jc w:val="center"/>
              <w:rPr>
                <w:rFonts w:ascii="Times New Roman" w:eastAsia="Times New Roman" w:hAnsi="Times New Roman" w:cs="Times New Roman"/>
                <w:i/>
                <w:sz w:val="28"/>
                <w:szCs w:val="28"/>
                <w:lang w:val="fr-FR"/>
              </w:rPr>
            </w:pPr>
            <w:r>
              <w:rPr>
                <w:rFonts w:ascii="Times New Roman" w:eastAsia="Times New Roman" w:hAnsi="Times New Roman" w:cs="Times New Roman"/>
                <w:i/>
                <w:noProof/>
                <w:sz w:val="28"/>
                <w:szCs w:val="28"/>
                <w:lang w:eastAsia="vi-VN"/>
              </w:rPr>
              <mc:AlternateContent>
                <mc:Choice Requires="wps">
                  <w:drawing>
                    <wp:anchor distT="0" distB="0" distL="114300" distR="114300" simplePos="0" relativeHeight="251662336" behindDoc="0" locked="0" layoutInCell="1" allowOverlap="1">
                      <wp:simplePos x="0" y="0"/>
                      <wp:positionH relativeFrom="column">
                        <wp:posOffset>754380</wp:posOffset>
                      </wp:positionH>
                      <wp:positionV relativeFrom="paragraph">
                        <wp:posOffset>20320</wp:posOffset>
                      </wp:positionV>
                      <wp:extent cx="2076450" cy="0"/>
                      <wp:effectExtent l="11430" t="7620" r="762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1.6pt" to="222.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DB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"/>
                  </w:pict>
                </mc:Fallback>
              </mc:AlternateContent>
            </w:r>
            <w:r w:rsidRPr="000B57F2">
              <w:rPr>
                <w:rFonts w:ascii="Times New Roman" w:eastAsia="Times New Roman" w:hAnsi="Times New Roman" w:cs="Times New Roman"/>
                <w:i/>
                <w:sz w:val="28"/>
                <w:szCs w:val="28"/>
                <w:lang w:val="fr-FR"/>
              </w:rPr>
              <w:t>Sơn La, ngày 08 tháng 1</w:t>
            </w:r>
            <w:bookmarkStart w:id="0" w:name="_GoBack"/>
            <w:bookmarkEnd w:id="0"/>
            <w:r w:rsidRPr="000B57F2">
              <w:rPr>
                <w:rFonts w:ascii="Times New Roman" w:eastAsia="Times New Roman" w:hAnsi="Times New Roman" w:cs="Times New Roman"/>
                <w:i/>
                <w:sz w:val="28"/>
                <w:szCs w:val="28"/>
                <w:lang w:val="fr-FR"/>
              </w:rPr>
              <w:t>2 năm 2023</w:t>
            </w:r>
          </w:p>
        </w:tc>
      </w:tr>
    </w:tbl>
    <w:p w:rsidR="000B57F2" w:rsidRDefault="000B57F2" w:rsidP="000B57F2">
      <w:pPr>
        <w:autoSpaceDE w:val="0"/>
        <w:autoSpaceDN w:val="0"/>
        <w:adjustRightInd w:val="0"/>
        <w:spacing w:after="0" w:line="240" w:lineRule="auto"/>
        <w:jc w:val="center"/>
        <w:rPr>
          <w:rFonts w:ascii="Times New Roman" w:eastAsia="Times New Roman" w:hAnsi="Times New Roman" w:cs="Times New Roman"/>
          <w:b/>
          <w:sz w:val="28"/>
          <w:szCs w:val="28"/>
          <w:lang w:val="fr-FR"/>
        </w:rPr>
      </w:pPr>
    </w:p>
    <w:p w:rsidR="000B57F2" w:rsidRPr="00361CC8" w:rsidRDefault="000B57F2" w:rsidP="000B57F2">
      <w:pPr>
        <w:autoSpaceDE w:val="0"/>
        <w:autoSpaceDN w:val="0"/>
        <w:adjustRightInd w:val="0"/>
        <w:spacing w:after="0" w:line="240" w:lineRule="auto"/>
        <w:jc w:val="center"/>
        <w:rPr>
          <w:rFonts w:ascii="Times New Roman" w:eastAsia="Times New Roman" w:hAnsi="Times New Roman" w:cs="Times New Roman"/>
          <w:b/>
          <w:sz w:val="28"/>
          <w:szCs w:val="28"/>
          <w:lang w:val="fr-FR"/>
        </w:rPr>
      </w:pPr>
      <w:r w:rsidRPr="00361CC8">
        <w:rPr>
          <w:rFonts w:ascii="Times New Roman" w:eastAsia="Times New Roman" w:hAnsi="Times New Roman" w:cs="Times New Roman"/>
          <w:b/>
          <w:sz w:val="28"/>
          <w:szCs w:val="28"/>
          <w:lang w:val="fr-FR"/>
        </w:rPr>
        <w:t>NGHỊ QUYẾT</w:t>
      </w:r>
    </w:p>
    <w:p w:rsidR="000B57F2" w:rsidRDefault="000B57F2" w:rsidP="000B57F2">
      <w:pPr>
        <w:jc w:val="center"/>
      </w:pPr>
      <w:r>
        <w:rPr>
          <w:rFonts w:ascii="Times New Roman Bold" w:eastAsia="Times New Roman" w:hAnsi="Times New Roman Bold" w:cs="Times New Roman"/>
          <w:noProof/>
          <w:sz w:val="14"/>
          <w:szCs w:val="28"/>
          <w:lang w:eastAsia="vi-VN"/>
        </w:rPr>
        <mc:AlternateContent>
          <mc:Choice Requires="wps">
            <w:drawing>
              <wp:anchor distT="0" distB="0" distL="114300" distR="114300" simplePos="0" relativeHeight="251659264" behindDoc="0" locked="0" layoutInCell="1" allowOverlap="1" wp14:anchorId="0E84BFCB" wp14:editId="15BE8A2B">
                <wp:simplePos x="0" y="0"/>
                <wp:positionH relativeFrom="column">
                  <wp:posOffset>2088515</wp:posOffset>
                </wp:positionH>
                <wp:positionV relativeFrom="paragraph">
                  <wp:posOffset>473075</wp:posOffset>
                </wp:positionV>
                <wp:extent cx="166116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45pt,37.25pt" to="295.2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te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"/>
            </w:pict>
          </mc:Fallback>
        </mc:AlternateContent>
      </w:r>
      <w:r w:rsidRPr="00361CC8">
        <w:rPr>
          <w:rFonts w:ascii="Times New Roman Bold" w:eastAsia="Times New Roman" w:hAnsi="Times New Roman Bold" w:cs="Times New Roman"/>
          <w:b/>
          <w:sz w:val="28"/>
          <w:szCs w:val="28"/>
          <w:lang w:val="fr-FR"/>
        </w:rPr>
        <w:t xml:space="preserve">Quy định mức chi bảo đảm cho công tác phổ biến, giáo dục pháp luật,      chuẩn tiếp cận pháp luật và hòa giải ở cơ sở </w:t>
      </w:r>
      <w:r w:rsidRPr="00361CC8">
        <w:rPr>
          <w:rFonts w:ascii="Times New Roman Bold" w:eastAsia="Times New Roman" w:hAnsi="Times New Roman Bold" w:cs="Times New Roman"/>
          <w:b/>
          <w:sz w:val="28"/>
          <w:szCs w:val="28"/>
        </w:rPr>
        <w:t>trên địa bàn tỉnh</w:t>
      </w:r>
      <w:r w:rsidRPr="00361CC8">
        <w:rPr>
          <w:rFonts w:ascii="Times New Roman Bold" w:eastAsia="Times New Roman" w:hAnsi="Times New Roman Bold" w:cs="Times New Roman"/>
          <w:b/>
          <w:sz w:val="28"/>
          <w:szCs w:val="28"/>
          <w:lang w:val="fr-FR"/>
        </w:rPr>
        <w:t xml:space="preserve"> Sơn La</w:t>
      </w:r>
    </w:p>
    <w:p w:rsidR="000B57F2" w:rsidRPr="00FE1DDC" w:rsidRDefault="000B57F2" w:rsidP="000B57F2">
      <w:pPr>
        <w:autoSpaceDE w:val="0"/>
        <w:autoSpaceDN w:val="0"/>
        <w:adjustRightInd w:val="0"/>
        <w:spacing w:after="0" w:line="240" w:lineRule="auto"/>
        <w:jc w:val="center"/>
        <w:rPr>
          <w:rFonts w:ascii="Times New Roman" w:eastAsia="Times New Roman" w:hAnsi="Times New Roman" w:cs="Times New Roman"/>
          <w:b/>
          <w:sz w:val="28"/>
          <w:szCs w:val="28"/>
          <w:lang w:val="fr-FR"/>
        </w:rPr>
      </w:pPr>
    </w:p>
    <w:p w:rsidR="000B57F2" w:rsidRPr="000B57F2" w:rsidRDefault="000B57F2" w:rsidP="000B57F2">
      <w:pPr>
        <w:autoSpaceDE w:val="0"/>
        <w:autoSpaceDN w:val="0"/>
        <w:adjustRightInd w:val="0"/>
        <w:spacing w:after="0" w:line="240" w:lineRule="auto"/>
        <w:jc w:val="center"/>
        <w:rPr>
          <w:rFonts w:ascii="Times New Roman" w:eastAsia="Times New Roman" w:hAnsi="Times New Roman" w:cs="Times New Roman"/>
          <w:b/>
          <w:sz w:val="28"/>
          <w:szCs w:val="28"/>
        </w:rPr>
      </w:pPr>
      <w:r w:rsidRPr="000B57F2">
        <w:rPr>
          <w:rFonts w:ascii="Times New Roman" w:eastAsia="Times New Roman" w:hAnsi="Times New Roman" w:cs="Times New Roman"/>
          <w:b/>
          <w:sz w:val="28"/>
          <w:szCs w:val="28"/>
        </w:rPr>
        <w:t>HỘI ĐỒNG NHÂN DÂN TỈNH SƠN LA</w:t>
      </w:r>
    </w:p>
    <w:p w:rsidR="000B57F2" w:rsidRPr="00FE1DDC" w:rsidRDefault="000B57F2" w:rsidP="000B57F2">
      <w:pPr>
        <w:autoSpaceDE w:val="0"/>
        <w:autoSpaceDN w:val="0"/>
        <w:adjustRightInd w:val="0"/>
        <w:spacing w:after="0" w:line="240" w:lineRule="auto"/>
        <w:jc w:val="center"/>
        <w:rPr>
          <w:rFonts w:ascii="Times New Roman" w:eastAsia="Times New Roman" w:hAnsi="Times New Roman" w:cs="Times New Roman"/>
          <w:b/>
          <w:sz w:val="28"/>
          <w:szCs w:val="28"/>
        </w:rPr>
      </w:pPr>
      <w:r w:rsidRPr="00FE1DDC">
        <w:rPr>
          <w:rFonts w:ascii="Times New Roman" w:eastAsia="Times New Roman" w:hAnsi="Times New Roman" w:cs="Times New Roman"/>
          <w:b/>
          <w:sz w:val="28"/>
          <w:szCs w:val="28"/>
        </w:rPr>
        <w:t xml:space="preserve">KHOÁ XV, KỲ HỌP THỨ </w:t>
      </w:r>
      <w:r w:rsidRPr="000B57F2">
        <w:rPr>
          <w:rFonts w:ascii="Times New Roman" w:eastAsia="Times New Roman" w:hAnsi="Times New Roman" w:cs="Times New Roman"/>
          <w:b/>
          <w:sz w:val="28"/>
          <w:szCs w:val="28"/>
        </w:rPr>
        <w:t>TÁM</w:t>
      </w:r>
    </w:p>
    <w:p w:rsidR="000B57F2" w:rsidRPr="00FE1DDC" w:rsidRDefault="000B57F2" w:rsidP="000B57F2">
      <w:pPr>
        <w:spacing w:after="0" w:line="240" w:lineRule="auto"/>
        <w:rPr>
          <w:rFonts w:ascii="Times New Roman" w:eastAsia="Times New Roman" w:hAnsi="Times New Roman" w:cs="Times New Roman"/>
          <w:i/>
          <w:iCs/>
          <w:sz w:val="2"/>
          <w:szCs w:val="28"/>
        </w:rPr>
      </w:pPr>
    </w:p>
    <w:p w:rsidR="000B57F2" w:rsidRPr="00FE1DDC" w:rsidRDefault="000B57F2" w:rsidP="000B57F2">
      <w:pPr>
        <w:spacing w:after="0" w:line="240" w:lineRule="auto"/>
        <w:ind w:firstLine="720"/>
        <w:jc w:val="both"/>
        <w:rPr>
          <w:rFonts w:ascii="Times New Roman" w:eastAsia="Times New Roman" w:hAnsi="Times New Roman" w:cs="Times New Roman"/>
          <w:i/>
          <w:sz w:val="2"/>
          <w:szCs w:val="28"/>
        </w:rPr>
      </w:pPr>
    </w:p>
    <w:p w:rsidR="000B57F2" w:rsidRPr="000B57F2" w:rsidRDefault="000B57F2" w:rsidP="000B57F2">
      <w:pPr>
        <w:spacing w:before="120" w:after="0" w:line="240" w:lineRule="auto"/>
        <w:ind w:firstLine="720"/>
        <w:jc w:val="both"/>
        <w:rPr>
          <w:rFonts w:ascii="Times New Roman" w:eastAsia="Times New Roman" w:hAnsi="Times New Roman" w:cs="Times New Roman"/>
          <w:i/>
          <w:sz w:val="28"/>
          <w:szCs w:val="28"/>
        </w:rPr>
      </w:pPr>
      <w:r w:rsidRPr="00FE1DDC">
        <w:rPr>
          <w:rFonts w:ascii="Times New Roman" w:eastAsia="Times New Roman" w:hAnsi="Times New Roman" w:cs="Times New Roman"/>
          <w:i/>
          <w:sz w:val="28"/>
          <w:szCs w:val="28"/>
        </w:rPr>
        <w:t xml:space="preserve">Căn cứ Luật Tổ chức Chính quyền địa phương </w:t>
      </w:r>
      <w:r w:rsidRPr="000B57F2">
        <w:rPr>
          <w:rFonts w:ascii="Times New Roman" w:eastAsia="Times New Roman" w:hAnsi="Times New Roman" w:cs="Times New Roman"/>
          <w:i/>
          <w:sz w:val="28"/>
          <w:szCs w:val="28"/>
        </w:rPr>
        <w:t xml:space="preserve">ngày 19 tháng 6 năm 2015; Luật </w:t>
      </w:r>
      <w:r w:rsidRPr="00FE1DDC">
        <w:rPr>
          <w:rFonts w:ascii="Times New Roman" w:eastAsia="Times New Roman" w:hAnsi="Times New Roman" w:cs="Times New Roman"/>
          <w:i/>
          <w:sz w:val="28"/>
          <w:szCs w:val="28"/>
        </w:rPr>
        <w:t>S</w:t>
      </w:r>
      <w:r w:rsidRPr="000B57F2">
        <w:rPr>
          <w:rFonts w:ascii="Times New Roman" w:eastAsia="Times New Roman" w:hAnsi="Times New Roman" w:cs="Times New Roman"/>
          <w:i/>
          <w:sz w:val="28"/>
          <w:szCs w:val="28"/>
        </w:rPr>
        <w:t xml:space="preserve">ửa đổi, bổ sung một số điều của Luật Tổ chức Chính phủ và </w:t>
      </w:r>
      <w:r w:rsidRPr="00FE1DDC">
        <w:rPr>
          <w:rFonts w:ascii="Times New Roman" w:eastAsia="Times New Roman" w:hAnsi="Times New Roman" w:cs="Times New Roman"/>
          <w:i/>
          <w:sz w:val="28"/>
          <w:szCs w:val="28"/>
        </w:rPr>
        <w:t xml:space="preserve">Luật Tổ chức Chính quyền địa phương ngày 22 tháng 11 </w:t>
      </w:r>
      <w:r w:rsidRPr="000B57F2">
        <w:rPr>
          <w:rFonts w:ascii="Times New Roman" w:eastAsia="Times New Roman" w:hAnsi="Times New Roman" w:cs="Times New Roman"/>
          <w:i/>
          <w:sz w:val="28"/>
          <w:szCs w:val="28"/>
        </w:rPr>
        <w:t>năm 2019;</w:t>
      </w:r>
    </w:p>
    <w:p w:rsidR="000B57F2" w:rsidRPr="000B57F2" w:rsidRDefault="000B57F2" w:rsidP="000B57F2">
      <w:pPr>
        <w:shd w:val="clear" w:color="auto" w:fill="FFFFFF"/>
        <w:spacing w:before="120" w:after="0" w:line="240" w:lineRule="auto"/>
        <w:ind w:firstLine="720"/>
        <w:jc w:val="both"/>
        <w:rPr>
          <w:rFonts w:ascii="Times New Roman" w:eastAsia="Times New Roman" w:hAnsi="Times New Roman" w:cs="Times New Roman"/>
          <w:i/>
          <w:sz w:val="28"/>
          <w:szCs w:val="28"/>
          <w:lang w:val="pt-BR"/>
        </w:rPr>
      </w:pPr>
      <w:r w:rsidRPr="000B57F2">
        <w:rPr>
          <w:rFonts w:ascii="Times New Roman" w:eastAsia="Times New Roman" w:hAnsi="Times New Roman" w:cs="Times New Roman"/>
          <w:i/>
          <w:iCs/>
          <w:sz w:val="28"/>
          <w:szCs w:val="28"/>
        </w:rPr>
        <w:t xml:space="preserve">Căn cứ Luật Ban hành văn bản quy phạm pháp luật ngày 22 tháng 6 năm 2015; </w:t>
      </w:r>
      <w:r w:rsidRPr="000B57F2">
        <w:rPr>
          <w:rFonts w:ascii="Times New Roman" w:eastAsia="Times New Roman" w:hAnsi="Times New Roman" w:cs="Times New Roman"/>
          <w:i/>
          <w:sz w:val="28"/>
          <w:szCs w:val="28"/>
          <w:lang w:val="pt-BR"/>
        </w:rPr>
        <w:t>Luật Sửa đổi, bổ sung một số điều của Luật Ban hành văn bản quy phạm pháp luật ngày 18 tháng 6 năm 2020;</w:t>
      </w:r>
    </w:p>
    <w:p w:rsidR="000B57F2" w:rsidRPr="000B57F2" w:rsidRDefault="000B57F2" w:rsidP="000B57F2">
      <w:pPr>
        <w:spacing w:before="120" w:after="0" w:line="240" w:lineRule="auto"/>
        <w:ind w:firstLine="720"/>
        <w:jc w:val="both"/>
        <w:rPr>
          <w:rFonts w:ascii="Times New Roman" w:eastAsia="Times New Roman" w:hAnsi="Times New Roman" w:cs="Times New Roman"/>
          <w:i/>
          <w:iCs/>
          <w:sz w:val="28"/>
          <w:szCs w:val="28"/>
        </w:rPr>
      </w:pPr>
      <w:r w:rsidRPr="000B57F2">
        <w:rPr>
          <w:rFonts w:ascii="Times New Roman" w:eastAsia="Times New Roman" w:hAnsi="Times New Roman" w:cs="Times New Roman"/>
          <w:i/>
          <w:iCs/>
          <w:sz w:val="28"/>
          <w:szCs w:val="28"/>
        </w:rPr>
        <w:t xml:space="preserve">Căn cứ Luật Ngân sách nhà nước ngày 25 tháng 6 năm 2015; </w:t>
      </w:r>
    </w:p>
    <w:p w:rsidR="000B57F2" w:rsidRPr="000B57F2" w:rsidRDefault="000B57F2" w:rsidP="000B57F2">
      <w:pPr>
        <w:spacing w:before="120" w:after="0" w:line="240" w:lineRule="auto"/>
        <w:ind w:firstLine="720"/>
        <w:jc w:val="both"/>
        <w:rPr>
          <w:rFonts w:ascii="Times New Roman" w:eastAsia="Times New Roman" w:hAnsi="Times New Roman" w:cs="Times New Roman"/>
          <w:i/>
          <w:sz w:val="28"/>
          <w:szCs w:val="28"/>
        </w:rPr>
      </w:pPr>
      <w:r w:rsidRPr="000B57F2">
        <w:rPr>
          <w:rFonts w:ascii="Times New Roman" w:eastAsia="Times New Roman" w:hAnsi="Times New Roman" w:cs="Times New Roman"/>
          <w:i/>
          <w:iCs/>
          <w:sz w:val="28"/>
          <w:szCs w:val="28"/>
        </w:rPr>
        <w:t>Căn cứ Nghị định số 163/2016/NĐ-CP ngày 21 tháng 12 năm 2016 của Chính phủ quy định chi tiết và hướng dẫn thi hành Luật Ngân sách Nhà nước;</w:t>
      </w:r>
    </w:p>
    <w:p w:rsidR="000B57F2" w:rsidRPr="000B57F2" w:rsidRDefault="000B57F2" w:rsidP="000B57F2">
      <w:pPr>
        <w:spacing w:before="120" w:after="0" w:line="240" w:lineRule="auto"/>
        <w:ind w:firstLine="720"/>
        <w:jc w:val="both"/>
        <w:rPr>
          <w:rFonts w:ascii="Times New Roman" w:eastAsia="Times New Roman" w:hAnsi="Times New Roman" w:cs="Times New Roman"/>
          <w:i/>
          <w:sz w:val="28"/>
          <w:szCs w:val="28"/>
        </w:rPr>
      </w:pPr>
      <w:r w:rsidRPr="000B57F2">
        <w:rPr>
          <w:rFonts w:ascii="Times New Roman" w:eastAsia="Times New Roman" w:hAnsi="Times New Roman" w:cs="Times New Roman"/>
          <w:i/>
          <w:iCs/>
          <w:sz w:val="28"/>
          <w:szCs w:val="28"/>
        </w:rPr>
        <w:t xml:space="preserve">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w:t>
      </w:r>
    </w:p>
    <w:p w:rsidR="000B57F2" w:rsidRPr="000B57F2" w:rsidRDefault="000B57F2" w:rsidP="000B57F2">
      <w:pPr>
        <w:spacing w:before="120" w:after="0" w:line="240" w:lineRule="auto"/>
        <w:ind w:firstLine="720"/>
        <w:jc w:val="both"/>
        <w:rPr>
          <w:rFonts w:ascii="Times New Roman" w:eastAsia="Times New Roman" w:hAnsi="Times New Roman" w:cs="Times New Roman"/>
          <w:i/>
          <w:sz w:val="28"/>
          <w:szCs w:val="28"/>
        </w:rPr>
      </w:pPr>
      <w:r w:rsidRPr="000B57F2">
        <w:rPr>
          <w:rFonts w:ascii="Times New Roman" w:eastAsia="Times New Roman" w:hAnsi="Times New Roman" w:cs="Times New Roman"/>
          <w:i/>
          <w:sz w:val="28"/>
          <w:szCs w:val="28"/>
        </w:rPr>
        <w:t>Căn cứ khoản 1 Điều 5 Thông tư số 56/2023/TT-BTC ngày 18 tháng 8 năm 2023 của Bộ Tài chính quy định việc lập dự toán, quản lý, sử dụng và quyết toán kinh phí bảo đảm cho công tác phổ biến, giáo dục pháp luật, chuẩn tiếp cận pháp luật và hòa giải ở cơ sở.</w:t>
      </w:r>
    </w:p>
    <w:p w:rsidR="000B57F2" w:rsidRPr="000B57F2" w:rsidRDefault="000B57F2" w:rsidP="000B57F2">
      <w:pPr>
        <w:spacing w:before="120" w:after="0" w:line="240" w:lineRule="auto"/>
        <w:ind w:firstLine="720"/>
        <w:jc w:val="both"/>
        <w:rPr>
          <w:rFonts w:ascii="Times New Roman" w:eastAsia="Times New Roman" w:hAnsi="Times New Roman" w:cs="Times New Roman"/>
          <w:i/>
          <w:sz w:val="28"/>
          <w:szCs w:val="28"/>
        </w:rPr>
      </w:pPr>
      <w:r w:rsidRPr="000B57F2">
        <w:rPr>
          <w:rFonts w:ascii="Times New Roman" w:eastAsia="Times New Roman" w:hAnsi="Times New Roman" w:cs="Times New Roman"/>
          <w:i/>
          <w:sz w:val="28"/>
          <w:szCs w:val="28"/>
        </w:rPr>
        <w:t xml:space="preserve">Xét Tờ trình số 180/TTr-UBND ngày 21 tháng 11 năm 2023 của UBND tỉnh; Báo cáo thẩm tra số 640/BC-PC ngày 05 tháng 12 năm 2023 </w:t>
      </w:r>
      <w:r w:rsidRPr="000B57F2">
        <w:rPr>
          <w:rFonts w:ascii="Times New Roman" w:eastAsia="Times New Roman" w:hAnsi="Times New Roman" w:cs="Times New Roman"/>
          <w:sz w:val="28"/>
          <w:szCs w:val="28"/>
        </w:rPr>
        <w:t xml:space="preserve">của Ban Pháp </w:t>
      </w:r>
      <w:r w:rsidRPr="000B57F2">
        <w:rPr>
          <w:rFonts w:ascii="Times New Roman" w:eastAsia="Times New Roman" w:hAnsi="Times New Roman" w:cs="Times New Roman"/>
          <w:i/>
          <w:sz w:val="28"/>
          <w:szCs w:val="28"/>
        </w:rPr>
        <w:t xml:space="preserve">chế </w:t>
      </w:r>
      <w:r w:rsidRPr="000B57F2">
        <w:rPr>
          <w:rFonts w:ascii="Times New Roman" w:eastAsia="Arial Unicode MS" w:hAnsi="Times New Roman" w:cs="Times New Roman"/>
          <w:i/>
          <w:sz w:val="28"/>
          <w:szCs w:val="28"/>
          <w:lang w:eastAsia="vi-VN" w:bidi="vi-VN"/>
        </w:rPr>
        <w:t>HĐND</w:t>
      </w:r>
      <w:r w:rsidRPr="000B57F2">
        <w:rPr>
          <w:rFonts w:ascii="Times New Roman" w:eastAsia="Times New Roman" w:hAnsi="Times New Roman" w:cs="Times New Roman"/>
          <w:i/>
          <w:sz w:val="28"/>
          <w:szCs w:val="28"/>
        </w:rPr>
        <w:t xml:space="preserve"> tỉnh; ý kiến </w:t>
      </w:r>
      <w:r w:rsidRPr="000B57F2">
        <w:rPr>
          <w:rFonts w:ascii="Times New Roman" w:eastAsia="Arial Unicode MS" w:hAnsi="Times New Roman" w:cs="Times New Roman"/>
          <w:i/>
          <w:sz w:val="28"/>
          <w:szCs w:val="28"/>
          <w:lang w:eastAsia="vi-VN" w:bidi="vi-VN"/>
        </w:rPr>
        <w:t>thảo luận của đại biểu HĐND tại kỳ họp</w:t>
      </w:r>
      <w:r w:rsidRPr="000B57F2">
        <w:rPr>
          <w:rFonts w:ascii="Times New Roman" w:eastAsia="Times New Roman" w:hAnsi="Times New Roman" w:cs="Times New Roman"/>
          <w:iCs/>
          <w:sz w:val="28"/>
          <w:szCs w:val="28"/>
        </w:rPr>
        <w:t>.</w:t>
      </w:r>
    </w:p>
    <w:p w:rsidR="000B57F2" w:rsidRPr="000B57F2" w:rsidRDefault="000B57F2" w:rsidP="000B57F2">
      <w:pPr>
        <w:spacing w:before="120" w:after="120" w:line="240" w:lineRule="auto"/>
        <w:jc w:val="center"/>
        <w:rPr>
          <w:rFonts w:ascii="Times New Roman" w:eastAsia="Times New Roman" w:hAnsi="Times New Roman" w:cs="Times New Roman"/>
          <w:i/>
          <w:sz w:val="28"/>
          <w:szCs w:val="28"/>
        </w:rPr>
      </w:pPr>
      <w:r w:rsidRPr="000B57F2">
        <w:rPr>
          <w:rFonts w:ascii="Times New Roman" w:eastAsia="Times New Roman" w:hAnsi="Times New Roman" w:cs="Times New Roman"/>
          <w:b/>
          <w:sz w:val="28"/>
          <w:szCs w:val="28"/>
        </w:rPr>
        <w:t>QUYẾT NGHỊ:</w:t>
      </w:r>
    </w:p>
    <w:p w:rsidR="000B57F2" w:rsidRPr="000B57F2" w:rsidRDefault="000B57F2" w:rsidP="000B57F2">
      <w:pPr>
        <w:spacing w:after="120" w:line="240" w:lineRule="auto"/>
        <w:ind w:firstLine="720"/>
        <w:jc w:val="both"/>
        <w:rPr>
          <w:rFonts w:ascii="Times New Roman" w:eastAsia="Times New Roman" w:hAnsi="Times New Roman" w:cs="Times New Roman"/>
          <w:i/>
          <w:sz w:val="28"/>
          <w:szCs w:val="28"/>
        </w:rPr>
      </w:pPr>
      <w:r w:rsidRPr="000B57F2">
        <w:rPr>
          <w:rFonts w:ascii="Times New Roman" w:eastAsia="Times New Roman" w:hAnsi="Times New Roman" w:cs="Times New Roman"/>
          <w:b/>
          <w:sz w:val="28"/>
          <w:szCs w:val="28"/>
        </w:rPr>
        <w:t>Điều 1</w:t>
      </w:r>
      <w:r w:rsidRPr="000B57F2">
        <w:rPr>
          <w:rFonts w:ascii="Times New Roman" w:eastAsia="Times New Roman" w:hAnsi="Times New Roman" w:cs="Times New Roman"/>
          <w:sz w:val="28"/>
          <w:szCs w:val="28"/>
        </w:rPr>
        <w:t xml:space="preserve">. Quy định mức chi bảo đảm cho công tác phổ biến, giáo dục pháp luật, chuẩn tiếp cận pháp luật và hòa giải ở cơ sở trên địa bàn tỉnh Sơn La </w:t>
      </w:r>
      <w:r w:rsidRPr="000B57F2">
        <w:rPr>
          <w:rFonts w:ascii="Times New Roman" w:eastAsia="Times New Roman" w:hAnsi="Times New Roman" w:cs="Times New Roman"/>
          <w:i/>
          <w:sz w:val="28"/>
          <w:szCs w:val="28"/>
        </w:rPr>
        <w:t>(có Phụ lục chi tiết kèm theo).</w:t>
      </w:r>
    </w:p>
    <w:p w:rsidR="000B57F2" w:rsidRPr="000B57F2" w:rsidRDefault="000B57F2" w:rsidP="000B57F2">
      <w:pPr>
        <w:spacing w:after="120" w:line="240" w:lineRule="auto"/>
        <w:ind w:firstLine="720"/>
        <w:jc w:val="both"/>
        <w:rPr>
          <w:rFonts w:ascii="Times New Roman" w:eastAsia="Times New Roman" w:hAnsi="Times New Roman" w:cs="Times New Roman"/>
          <w:sz w:val="30"/>
          <w:szCs w:val="28"/>
        </w:rPr>
      </w:pPr>
      <w:r w:rsidRPr="000B57F2">
        <w:rPr>
          <w:rFonts w:ascii="Times New Roman" w:eastAsia="Times New Roman" w:hAnsi="Times New Roman" w:cs="Times New Roman"/>
          <w:b/>
          <w:sz w:val="28"/>
          <w:szCs w:val="26"/>
        </w:rPr>
        <w:t xml:space="preserve">Điều 2. </w:t>
      </w:r>
      <w:r w:rsidRPr="000B57F2">
        <w:rPr>
          <w:rFonts w:ascii="Times New Roman" w:eastAsia="Times New Roman" w:hAnsi="Times New Roman" w:cs="Times New Roman"/>
          <w:sz w:val="28"/>
          <w:szCs w:val="26"/>
        </w:rPr>
        <w:t>Tổ chức thực hiện</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30"/>
          <w:szCs w:val="28"/>
        </w:rPr>
      </w:pPr>
      <w:r w:rsidRPr="000B57F2">
        <w:rPr>
          <w:rFonts w:ascii="Times New Roman" w:eastAsia="Times New Roman" w:hAnsi="Times New Roman" w:cs="Times New Roman"/>
          <w:sz w:val="28"/>
          <w:szCs w:val="28"/>
        </w:rPr>
        <w:lastRenderedPageBreak/>
        <w:t>1. UBND tỉnh tổ chức triển khai, thực hiện Nghị quyết.</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0B57F2">
        <w:rPr>
          <w:rFonts w:ascii="Times New Roman" w:eastAsia="Times New Roman" w:hAnsi="Times New Roman" w:cs="Times New Roman"/>
          <w:sz w:val="28"/>
          <w:szCs w:val="28"/>
        </w:rPr>
        <w:t>2. Thường trực HĐND, các Ban của HĐND, các Tổ đại biểu HĐND và đại biểu HĐND tỉnh giám sát việc thực hiện Nghị quyết.</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0B57F2">
        <w:rPr>
          <w:rFonts w:ascii="Times New Roman" w:eastAsia="Times New Roman" w:hAnsi="Times New Roman" w:cs="Times New Roman"/>
          <w:b/>
          <w:sz w:val="28"/>
          <w:szCs w:val="28"/>
        </w:rPr>
        <w:t xml:space="preserve">Điều 3. </w:t>
      </w:r>
      <w:r w:rsidRPr="000B57F2">
        <w:rPr>
          <w:rFonts w:ascii="Times New Roman" w:eastAsia="Times New Roman" w:hAnsi="Times New Roman" w:cs="Times New Roman"/>
          <w:sz w:val="28"/>
          <w:szCs w:val="28"/>
        </w:rPr>
        <w:t>Hiệu lực thi hành</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iCs/>
          <w:sz w:val="28"/>
          <w:szCs w:val="28"/>
        </w:rPr>
      </w:pPr>
      <w:r w:rsidRPr="000B57F2">
        <w:rPr>
          <w:rFonts w:ascii="Times New Roman" w:eastAsia="Times New Roman" w:hAnsi="Times New Roman" w:cs="Times New Roman"/>
          <w:sz w:val="28"/>
          <w:szCs w:val="28"/>
        </w:rPr>
        <w:t xml:space="preserve">1. Nghị quyết này thay thế </w:t>
      </w:r>
      <w:r w:rsidRPr="000B57F2">
        <w:rPr>
          <w:rFonts w:ascii="Times New Roman" w:eastAsia="Times New Roman" w:hAnsi="Times New Roman" w:cs="Times New Roman"/>
          <w:iCs/>
          <w:sz w:val="28"/>
          <w:szCs w:val="28"/>
        </w:rPr>
        <w:t>Nghị quyết số 100/2019/NQ-HĐND ngày 16 tháng 7 năm 2019 của HĐND tỉnh quy định mức chi thực hiện công tác phổ biến, giáo dục pháp luật và chuẩn tiếp cận pháp luật của người dân tại cơ sở trên địa bàn tỉnh và Nghị quyết số 102/2019/NQ-HĐND ngày 16 tháng 7 năm 2019 của HĐND tỉnh quy định mức chi thực hiện công tác hòa giải ở cơ sở trên địa bàn tỉnh.</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0B57F2">
        <w:rPr>
          <w:rFonts w:ascii="Times New Roman" w:eastAsia="Times New Roman" w:hAnsi="Times New Roman" w:cs="Times New Roman"/>
          <w:iCs/>
          <w:sz w:val="28"/>
          <w:szCs w:val="28"/>
        </w:rPr>
        <w:t>2.</w:t>
      </w:r>
      <w:r w:rsidRPr="000B57F2">
        <w:rPr>
          <w:rFonts w:ascii="Times New Roman" w:eastAsia="Times New Roman" w:hAnsi="Times New Roman" w:cs="Times New Roman"/>
          <w:sz w:val="28"/>
          <w:szCs w:val="28"/>
        </w:rPr>
        <w:t xml:space="preserve"> </w:t>
      </w:r>
      <w:r w:rsidRPr="000B57F2">
        <w:rPr>
          <w:rFonts w:ascii="Times New Roman" w:eastAsia="Times New Roman" w:hAnsi="Times New Roman" w:cs="Times New Roman"/>
          <w:iCs/>
          <w:sz w:val="28"/>
          <w:szCs w:val="28"/>
        </w:rPr>
        <w:t>Các nội dung và mức chi khác liên quan đến công tác phổ biến, giáo dục pháp luật, chuẩn tiếp cận pháp luật và hòa giải ở cơ sở không quy định tại Nghị quyết này thực hiện theo quy định tại Thông tư số 56/2023/TT-BTC ngày 18 tháng 8 năm 2023 của Bộ Tài chính quy định việc lập dự toán, quản lý, sử dụng và quyết toán kinh phí bảo đảm cho công tác phổ biến, giáo dục pháp luật, chuẩn tiếp cận pháp luật và hòa giải ở cơ sở và các chế độ, tiêu chuẩn, định mức quy định hiện hành của Trung ương và địa phương.</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0B57F2">
        <w:rPr>
          <w:rFonts w:ascii="Times New Roman" w:eastAsia="Times New Roman" w:hAnsi="Times New Roman" w:cs="Times New Roman"/>
          <w:sz w:val="28"/>
          <w:szCs w:val="28"/>
        </w:rPr>
        <w:t>3. Khi các văn bản dẫn chiếu để áp dụng tại Nghị quyết này được sửa đổi, bổ sung hoặc thay thế bằng văn bản mới thì áp dụng theo các văn bản sửa đổi, bổ sung hoặc thay thế.</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r w:rsidRPr="000B57F2">
        <w:rPr>
          <w:rFonts w:ascii="Times New Roman" w:eastAsia="Times New Roman" w:hAnsi="Times New Roman" w:cs="Times New Roman"/>
          <w:sz w:val="28"/>
          <w:szCs w:val="28"/>
        </w:rPr>
        <w:t>Nghị quyết này đã được HĐND tỉnh Sơn La khoá XV, kỳ họp thứ tám thông qua ngày 08 tháng 12 năm 2023 và có hiệu lực từ ngày 01 tháng 01 năm 2024./.</w:t>
      </w:r>
    </w:p>
    <w:p w:rsidR="000B57F2" w:rsidRPr="000B57F2" w:rsidRDefault="000B57F2" w:rsidP="000B57F2">
      <w:pPr>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p>
    <w:tbl>
      <w:tblPr>
        <w:tblW w:w="9356" w:type="dxa"/>
        <w:tblInd w:w="108" w:type="dxa"/>
        <w:tblLook w:val="01E0" w:firstRow="1" w:lastRow="1" w:firstColumn="1" w:lastColumn="1" w:noHBand="0" w:noVBand="0"/>
      </w:tblPr>
      <w:tblGrid>
        <w:gridCol w:w="5341"/>
        <w:gridCol w:w="4015"/>
      </w:tblGrid>
      <w:tr w:rsidR="000B57F2" w:rsidRPr="000B57F2" w:rsidTr="003F3DDC">
        <w:tc>
          <w:tcPr>
            <w:tcW w:w="5341" w:type="dxa"/>
          </w:tcPr>
          <w:p w:rsidR="000B57F2" w:rsidRPr="000B57F2" w:rsidRDefault="000B57F2" w:rsidP="000B57F2">
            <w:pPr>
              <w:spacing w:after="0" w:line="240" w:lineRule="auto"/>
              <w:rPr>
                <w:rFonts w:ascii="Times New Roman" w:eastAsia="Times New Roman" w:hAnsi="Times New Roman" w:cs="Times New Roman"/>
                <w:lang w:val="nl-NL"/>
              </w:rPr>
            </w:pPr>
            <w:r w:rsidRPr="000B57F2">
              <w:rPr>
                <w:rFonts w:ascii="Times New Roman" w:eastAsia="Times New Roman" w:hAnsi="Times New Roman" w:cs="Times New Roman"/>
                <w:b/>
                <w:bCs/>
                <w:i/>
                <w:iCs/>
                <w:lang w:val="nl-NL"/>
              </w:rPr>
              <w:t> </w:t>
            </w:r>
            <w:r w:rsidRPr="000B57F2">
              <w:rPr>
                <w:rFonts w:ascii="Times New Roman" w:eastAsia="Times New Roman" w:hAnsi="Times New Roman" w:cs="Times New Roman"/>
                <w:b/>
                <w:bCs/>
                <w:i/>
                <w:iCs/>
                <w:sz w:val="24"/>
                <w:szCs w:val="24"/>
                <w:lang w:val="nl-NL"/>
              </w:rPr>
              <w:t>Nơi nhận:</w:t>
            </w:r>
            <w:r w:rsidRPr="000B57F2">
              <w:rPr>
                <w:rFonts w:ascii="Times New Roman" w:eastAsia="Times New Roman" w:hAnsi="Times New Roman" w:cs="Times New Roman"/>
                <w:b/>
                <w:bCs/>
                <w:i/>
                <w:iCs/>
                <w:sz w:val="24"/>
                <w:szCs w:val="24"/>
                <w:lang w:val="nl-NL"/>
              </w:rPr>
              <w:br/>
            </w:r>
            <w:r w:rsidRPr="000B57F2">
              <w:rPr>
                <w:rFonts w:ascii="Times New Roman" w:eastAsia="Times New Roman" w:hAnsi="Times New Roman" w:cs="Times New Roman"/>
                <w:lang w:val="nl-NL"/>
              </w:rPr>
              <w:t>- Ủy ban thường vụ Quốc hội; Chính phủ;</w:t>
            </w:r>
            <w:r w:rsidRPr="000B57F2">
              <w:rPr>
                <w:rFonts w:ascii="Times New Roman" w:eastAsia="Times New Roman" w:hAnsi="Times New Roman" w:cs="Times New Roman"/>
                <w:lang w:val="nl-NL"/>
              </w:rPr>
              <w:br/>
              <w:t>- Văn phòng: Quốc hội; Chủ tịch nước; Chính phủ;</w:t>
            </w:r>
            <w:r w:rsidRPr="000B57F2">
              <w:rPr>
                <w:rFonts w:ascii="Times New Roman" w:eastAsia="Times New Roman" w:hAnsi="Times New Roman" w:cs="Times New Roman"/>
                <w:lang w:val="nl-NL"/>
              </w:rPr>
              <w:br/>
              <w:t xml:space="preserve">- Ban công tác đại biểu của UBTVQH; </w:t>
            </w:r>
          </w:p>
          <w:p w:rsidR="000B57F2" w:rsidRPr="000B57F2" w:rsidRDefault="000B57F2" w:rsidP="000B57F2">
            <w:pPr>
              <w:spacing w:after="0" w:line="240" w:lineRule="auto"/>
              <w:rPr>
                <w:rFonts w:ascii="Times New Roman" w:eastAsia="Times New Roman" w:hAnsi="Times New Roman" w:cs="Times New Roman"/>
                <w:lang w:val="nl-NL"/>
              </w:rPr>
            </w:pPr>
            <w:r w:rsidRPr="000B57F2">
              <w:rPr>
                <w:rFonts w:ascii="Times New Roman" w:eastAsia="Times New Roman" w:hAnsi="Times New Roman" w:cs="Times New Roman"/>
                <w:lang w:val="nl-NL"/>
              </w:rPr>
              <w:t xml:space="preserve">- Các Bộ: Tư pháp; Tài chính; </w:t>
            </w:r>
          </w:p>
          <w:p w:rsidR="000B57F2" w:rsidRPr="000B57F2" w:rsidRDefault="000B57F2" w:rsidP="000B57F2">
            <w:pPr>
              <w:spacing w:after="0" w:line="240" w:lineRule="auto"/>
              <w:rPr>
                <w:rFonts w:ascii="Times New Roman" w:eastAsia="Times New Roman" w:hAnsi="Times New Roman" w:cs="Times New Roman"/>
                <w:lang w:val="nl-NL"/>
              </w:rPr>
            </w:pPr>
            <w:r w:rsidRPr="000B57F2">
              <w:rPr>
                <w:rFonts w:ascii="Times New Roman" w:eastAsia="Times New Roman" w:hAnsi="Times New Roman" w:cs="Times New Roman"/>
                <w:lang w:val="nl-NL"/>
              </w:rPr>
              <w:t xml:space="preserve">- Vụ Pháp chế - Bộ Tài chính; </w:t>
            </w:r>
          </w:p>
          <w:p w:rsidR="000B57F2" w:rsidRPr="000B57F2" w:rsidRDefault="000B57F2" w:rsidP="000B57F2">
            <w:pPr>
              <w:spacing w:after="0" w:line="240" w:lineRule="auto"/>
              <w:rPr>
                <w:rFonts w:ascii="Times New Roman" w:eastAsia="Times New Roman" w:hAnsi="Times New Roman" w:cs="Times New Roman"/>
                <w:lang w:val="nl-NL"/>
              </w:rPr>
            </w:pPr>
            <w:r w:rsidRPr="000B57F2">
              <w:rPr>
                <w:rFonts w:ascii="Times New Roman" w:eastAsia="Times New Roman" w:hAnsi="Times New Roman" w:cs="Times New Roman"/>
                <w:lang w:val="nl-NL"/>
              </w:rPr>
              <w:t xml:space="preserve">- Cục Kiểm tra VBQPPL, Bộ Tư pháp; </w:t>
            </w:r>
          </w:p>
          <w:p w:rsidR="000B57F2" w:rsidRPr="000B57F2" w:rsidRDefault="000B57F2" w:rsidP="000B57F2">
            <w:pPr>
              <w:spacing w:after="0" w:line="240" w:lineRule="auto"/>
              <w:rPr>
                <w:rFonts w:ascii="Times New Roman" w:eastAsia="Times New Roman" w:hAnsi="Times New Roman" w:cs="Times New Roman"/>
                <w:lang w:val="nl-NL"/>
              </w:rPr>
            </w:pPr>
            <w:r w:rsidRPr="000B57F2">
              <w:rPr>
                <w:rFonts w:ascii="Times New Roman" w:eastAsia="Times New Roman" w:hAnsi="Times New Roman" w:cs="Times New Roman"/>
                <w:lang w:val="nl-NL"/>
              </w:rPr>
              <w:t xml:space="preserve">- Ban Thường vụ Tỉnh uỷ, </w:t>
            </w:r>
          </w:p>
          <w:p w:rsidR="000B57F2" w:rsidRPr="000B57F2" w:rsidRDefault="000B57F2" w:rsidP="000B57F2">
            <w:pPr>
              <w:autoSpaceDE w:val="0"/>
              <w:autoSpaceDN w:val="0"/>
              <w:adjustRightInd w:val="0"/>
              <w:spacing w:after="0" w:line="240" w:lineRule="auto"/>
              <w:rPr>
                <w:rFonts w:ascii="Times New Roman" w:eastAsia="Times New Roman" w:hAnsi="Times New Roman" w:cs="Times New Roman"/>
                <w:sz w:val="30"/>
                <w:szCs w:val="28"/>
                <w:lang w:val="nl-NL"/>
              </w:rPr>
            </w:pPr>
            <w:r w:rsidRPr="000B57F2">
              <w:rPr>
                <w:rFonts w:ascii="Times New Roman" w:eastAsia="Times New Roman" w:hAnsi="Times New Roman" w:cs="Times New Roman"/>
                <w:lang w:val="nl-NL"/>
              </w:rPr>
              <w:t>- Thường trực HĐND; UBND; UBMTTQVN tỉnh;</w:t>
            </w:r>
            <w:r w:rsidRPr="000B57F2">
              <w:rPr>
                <w:rFonts w:ascii="Times New Roman" w:eastAsia="Times New Roman" w:hAnsi="Times New Roman" w:cs="Times New Roman"/>
                <w:lang w:val="nl-NL"/>
              </w:rPr>
              <w:br/>
              <w:t>- Đoàn ĐBQH tỉnh; Đại biểu HĐND tỉnh;</w:t>
            </w:r>
            <w:r w:rsidRPr="000B57F2">
              <w:rPr>
                <w:rFonts w:ascii="Times New Roman" w:eastAsia="Times New Roman" w:hAnsi="Times New Roman" w:cs="Times New Roman"/>
                <w:lang w:val="nl-NL"/>
              </w:rPr>
              <w:br/>
              <w:t xml:space="preserve">- Các sở, ban, ngành, </w:t>
            </w:r>
            <w:r w:rsidRPr="000B57F2">
              <w:rPr>
                <w:rFonts w:ascii="Times New Roman" w:eastAsia="Times New Roman" w:hAnsi="Times New Roman" w:cs="Times New Roman"/>
              </w:rPr>
              <w:t>tổ chức chính trị - xã hội</w:t>
            </w:r>
            <w:r w:rsidRPr="000B57F2">
              <w:rPr>
                <w:rFonts w:ascii="Times New Roman" w:eastAsia="Times New Roman" w:hAnsi="Times New Roman" w:cs="Times New Roman"/>
                <w:lang w:val="nl-NL"/>
              </w:rPr>
              <w:t>;</w:t>
            </w:r>
            <w:r w:rsidRPr="000B57F2">
              <w:rPr>
                <w:rFonts w:ascii="Times New Roman" w:eastAsia="Times New Roman" w:hAnsi="Times New Roman" w:cs="Times New Roman"/>
                <w:lang w:val="nl-NL"/>
              </w:rPr>
              <w:br/>
              <w:t>- Văn phòng: Tỉnh ủy, Đoàn ĐBQH và HĐND tỉnh, UBND tỉnh;</w:t>
            </w:r>
            <w:r w:rsidRPr="000B57F2">
              <w:rPr>
                <w:rFonts w:ascii="Times New Roman" w:eastAsia="Times New Roman" w:hAnsi="Times New Roman" w:cs="Times New Roman"/>
                <w:lang w:val="nl-NL"/>
              </w:rPr>
              <w:br/>
              <w:t>- TT huyện ủy, Thành ủy, HĐND; UBND, UBMTTQVN các huyện, thành phố;</w:t>
            </w:r>
            <w:r w:rsidRPr="000B57F2">
              <w:rPr>
                <w:rFonts w:ascii="Times New Roman" w:eastAsia="Times New Roman" w:hAnsi="Times New Roman" w:cs="Times New Roman"/>
                <w:lang w:val="nl-NL"/>
              </w:rPr>
              <w:br/>
              <w:t>- TT Đảng ủy, HĐND, UBND xã, phường, thị trấn;</w:t>
            </w:r>
            <w:r w:rsidRPr="000B57F2">
              <w:rPr>
                <w:rFonts w:ascii="Times New Roman" w:eastAsia="Times New Roman" w:hAnsi="Times New Roman" w:cs="Times New Roman"/>
                <w:lang w:val="nl-NL"/>
              </w:rPr>
              <w:br/>
              <w:t>- Các Trung tâm: Thông tin tỉnh, Lưu trữ lịch sử tỉnh;</w:t>
            </w:r>
            <w:r w:rsidRPr="000B57F2">
              <w:rPr>
                <w:rFonts w:ascii="Times New Roman" w:eastAsia="Times New Roman" w:hAnsi="Times New Roman" w:cs="Times New Roman"/>
                <w:lang w:val="nl-NL"/>
              </w:rPr>
              <w:br/>
              <w:t>- Lưu: VT, PC 450b.</w:t>
            </w:r>
          </w:p>
        </w:tc>
        <w:tc>
          <w:tcPr>
            <w:tcW w:w="4015" w:type="dxa"/>
          </w:tcPr>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28"/>
                <w:szCs w:val="28"/>
                <w:lang w:val="nl-NL"/>
              </w:rPr>
            </w:pPr>
            <w:r w:rsidRPr="000B57F2">
              <w:rPr>
                <w:rFonts w:ascii="Times New Roman" w:eastAsia="Times New Roman" w:hAnsi="Times New Roman" w:cs="Times New Roman"/>
                <w:b/>
                <w:sz w:val="28"/>
                <w:szCs w:val="28"/>
                <w:lang w:val="nl-NL"/>
              </w:rPr>
              <w:t>CHỦ TỊCH</w:t>
            </w:r>
          </w:p>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28"/>
                <w:szCs w:val="28"/>
                <w:lang w:val="nl-NL"/>
              </w:rPr>
            </w:pPr>
          </w:p>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28"/>
                <w:szCs w:val="28"/>
                <w:lang w:val="nl-NL"/>
              </w:rPr>
            </w:pPr>
          </w:p>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28"/>
                <w:szCs w:val="28"/>
                <w:lang w:val="nl-NL"/>
              </w:rPr>
            </w:pPr>
          </w:p>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44"/>
                <w:szCs w:val="28"/>
                <w:lang w:val="nl-NL"/>
              </w:rPr>
            </w:pPr>
          </w:p>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28"/>
                <w:szCs w:val="28"/>
                <w:lang w:val="nl-NL"/>
              </w:rPr>
            </w:pPr>
          </w:p>
          <w:p w:rsidR="000B57F2" w:rsidRPr="000B57F2" w:rsidRDefault="000B57F2" w:rsidP="000B57F2">
            <w:pPr>
              <w:autoSpaceDE w:val="0"/>
              <w:autoSpaceDN w:val="0"/>
              <w:adjustRightInd w:val="0"/>
              <w:spacing w:before="60" w:after="60" w:line="240" w:lineRule="auto"/>
              <w:jc w:val="center"/>
              <w:rPr>
                <w:rFonts w:ascii="Times New Roman" w:eastAsia="Times New Roman" w:hAnsi="Times New Roman" w:cs="Times New Roman"/>
                <w:b/>
                <w:sz w:val="28"/>
                <w:szCs w:val="28"/>
                <w:lang w:val="nl-NL"/>
              </w:rPr>
            </w:pPr>
            <w:r w:rsidRPr="000B57F2">
              <w:rPr>
                <w:rFonts w:ascii="Times New Roman" w:eastAsia="Times New Roman" w:hAnsi="Times New Roman" w:cs="Times New Roman"/>
                <w:b/>
                <w:sz w:val="28"/>
                <w:szCs w:val="28"/>
                <w:lang w:val="nl-NL"/>
              </w:rPr>
              <w:t>Nguyễn Thái Hưng</w:t>
            </w:r>
          </w:p>
        </w:tc>
      </w:tr>
    </w:tbl>
    <w:p w:rsidR="000B57F2" w:rsidRPr="000B57F2" w:rsidRDefault="000B57F2" w:rsidP="000B57F2">
      <w:pPr>
        <w:autoSpaceDE w:val="0"/>
        <w:autoSpaceDN w:val="0"/>
        <w:adjustRightInd w:val="0"/>
        <w:spacing w:before="60" w:after="60" w:line="240" w:lineRule="auto"/>
        <w:jc w:val="both"/>
        <w:rPr>
          <w:rFonts w:ascii="Times New Roman" w:eastAsia="Times New Roman" w:hAnsi="Times New Roman" w:cs="Times New Roman"/>
          <w:sz w:val="28"/>
          <w:szCs w:val="28"/>
          <w:lang w:val="nl-NL"/>
        </w:rPr>
      </w:pPr>
    </w:p>
    <w:p w:rsidR="000B57F2" w:rsidRPr="000B57F2" w:rsidRDefault="000B57F2" w:rsidP="000B57F2">
      <w:pPr>
        <w:autoSpaceDE w:val="0"/>
        <w:autoSpaceDN w:val="0"/>
        <w:adjustRightInd w:val="0"/>
        <w:spacing w:before="60" w:after="60" w:line="240" w:lineRule="auto"/>
        <w:jc w:val="both"/>
        <w:rPr>
          <w:rFonts w:ascii="Times New Roman" w:eastAsia="Times New Roman" w:hAnsi="Times New Roman" w:cs="Times New Roman"/>
          <w:sz w:val="28"/>
          <w:szCs w:val="28"/>
          <w:lang w:val="nl-NL"/>
        </w:rPr>
      </w:pPr>
    </w:p>
    <w:p w:rsidR="000B57F2" w:rsidRPr="000B57F2" w:rsidRDefault="000B57F2" w:rsidP="000B57F2">
      <w:pPr>
        <w:autoSpaceDE w:val="0"/>
        <w:autoSpaceDN w:val="0"/>
        <w:adjustRightInd w:val="0"/>
        <w:spacing w:before="60" w:after="60" w:line="240" w:lineRule="auto"/>
        <w:jc w:val="both"/>
        <w:rPr>
          <w:rFonts w:ascii="Times New Roman" w:eastAsia="Times New Roman" w:hAnsi="Times New Roman" w:cs="Times New Roman"/>
          <w:sz w:val="28"/>
          <w:szCs w:val="28"/>
          <w:lang w:val="nl-NL"/>
        </w:rPr>
      </w:pPr>
    </w:p>
    <w:p w:rsidR="000B57F2" w:rsidRPr="000B57F2" w:rsidRDefault="000B57F2" w:rsidP="000B57F2">
      <w:pPr>
        <w:spacing w:after="0" w:line="240" w:lineRule="auto"/>
        <w:jc w:val="center"/>
        <w:rPr>
          <w:rFonts w:ascii="Times New Roman" w:eastAsia="Calibri" w:hAnsi="Times New Roman" w:cs="Times New Roman"/>
          <w:b/>
          <w:w w:val="80"/>
          <w:sz w:val="28"/>
          <w:szCs w:val="28"/>
          <w:lang w:val="pt-BR"/>
        </w:rPr>
      </w:pPr>
      <w:r w:rsidRPr="000B57F2">
        <w:rPr>
          <w:rFonts w:ascii="Times New Roman" w:eastAsia="Calibri" w:hAnsi="Times New Roman" w:cs="Times New Roman"/>
          <w:b/>
          <w:w w:val="80"/>
          <w:sz w:val="28"/>
          <w:szCs w:val="28"/>
          <w:lang w:val="pt-BR"/>
        </w:rPr>
        <w:lastRenderedPageBreak/>
        <w:t>Phụ lục</w:t>
      </w:r>
    </w:p>
    <w:p w:rsidR="000B57F2" w:rsidRPr="000B57F2" w:rsidRDefault="000B57F2" w:rsidP="000B57F2">
      <w:pPr>
        <w:spacing w:after="0" w:line="240" w:lineRule="auto"/>
        <w:jc w:val="center"/>
        <w:rPr>
          <w:rFonts w:ascii="Times New Roman" w:eastAsia="Calibri" w:hAnsi="Times New Roman" w:cs="Times New Roman"/>
          <w:b/>
          <w:w w:val="80"/>
          <w:sz w:val="28"/>
          <w:szCs w:val="28"/>
          <w:lang w:val="pt-BR"/>
        </w:rPr>
      </w:pPr>
      <w:r w:rsidRPr="000B57F2">
        <w:rPr>
          <w:rFonts w:ascii="Times New Roman" w:eastAsia="Calibri" w:hAnsi="Times New Roman" w:cs="Times New Roman"/>
          <w:b/>
          <w:w w:val="80"/>
          <w:sz w:val="28"/>
          <w:szCs w:val="28"/>
          <w:lang w:val="pt-BR"/>
        </w:rPr>
        <w:t>MỨC CHI BẢO ĐẢM CHO CÔNG TÁC PHỔ BIẾN, GIÁO DỤC PHÁP LUẬT,                              CHUẨN TIẾP CẬN PHÁP LUẬT VÀ HÒA GIẢI Ở CƠ SỞ</w:t>
      </w:r>
    </w:p>
    <w:p w:rsidR="000B57F2" w:rsidRPr="000B57F2" w:rsidRDefault="000B57F2" w:rsidP="000B57F2">
      <w:pPr>
        <w:spacing w:after="0" w:line="240" w:lineRule="auto"/>
        <w:jc w:val="center"/>
        <w:rPr>
          <w:rFonts w:ascii="Times New Roman" w:eastAsia="Calibri" w:hAnsi="Times New Roman" w:cs="Times New Roman"/>
          <w:i/>
          <w:w w:val="80"/>
          <w:sz w:val="28"/>
          <w:szCs w:val="28"/>
          <w:lang w:val="pt-BR"/>
        </w:rPr>
      </w:pPr>
      <w:r w:rsidRPr="000B57F2">
        <w:rPr>
          <w:rFonts w:ascii="Times New Roman" w:eastAsia="Calibri" w:hAnsi="Times New Roman" w:cs="Times New Roman"/>
          <w:i/>
          <w:w w:val="80"/>
          <w:sz w:val="28"/>
          <w:szCs w:val="28"/>
          <w:lang w:val="pt-BR"/>
        </w:rPr>
        <w:t>(Kèm theo Nghị quyết số 70/2023/NQ-HĐND ngày 08/12/2023 của HĐND tỉnh)</w:t>
      </w:r>
    </w:p>
    <w:p w:rsidR="000B57F2" w:rsidRPr="000B57F2" w:rsidRDefault="000B57F2" w:rsidP="000B57F2">
      <w:pPr>
        <w:spacing w:before="120" w:after="0" w:line="240" w:lineRule="auto"/>
        <w:ind w:firstLine="720"/>
        <w:jc w:val="center"/>
        <w:rPr>
          <w:rFonts w:ascii="Times New Roman" w:eastAsia="Calibri" w:hAnsi="Times New Roman" w:cs="Times New Roman"/>
          <w:i/>
          <w:sz w:val="26"/>
          <w:lang w:val="pt-BR"/>
        </w:rPr>
      </w:pPr>
      <w:r>
        <w:rPr>
          <w:rFonts w:ascii="Times New Roman" w:eastAsia="Calibri" w:hAnsi="Times New Roman" w:cs="Times New Roman"/>
          <w:i/>
          <w:noProof/>
          <w:sz w:val="26"/>
          <w:lang w:eastAsia="vi-VN"/>
        </w:rPr>
        <mc:AlternateContent>
          <mc:Choice Requires="wps">
            <w:drawing>
              <wp:anchor distT="0" distB="0" distL="114300" distR="114300" simplePos="0" relativeHeight="251658240" behindDoc="0" locked="0" layoutInCell="1" allowOverlap="1">
                <wp:simplePos x="0" y="0"/>
                <wp:positionH relativeFrom="column">
                  <wp:posOffset>1784350</wp:posOffset>
                </wp:positionH>
                <wp:positionV relativeFrom="paragraph">
                  <wp:posOffset>31115</wp:posOffset>
                </wp:positionV>
                <wp:extent cx="2136140" cy="0"/>
                <wp:effectExtent l="8255" t="8255" r="825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40.5pt;margin-top:2.45pt;width:168.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NE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"/>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3795"/>
        <w:gridCol w:w="1461"/>
        <w:gridCol w:w="1220"/>
        <w:gridCol w:w="145"/>
        <w:gridCol w:w="1062"/>
        <w:gridCol w:w="72"/>
        <w:gridCol w:w="992"/>
      </w:tblGrid>
      <w:tr w:rsidR="000B57F2" w:rsidRPr="000B57F2" w:rsidTr="003F3DDC">
        <w:trPr>
          <w:trHeight w:val="425"/>
          <w:tblHeader/>
        </w:trPr>
        <w:tc>
          <w:tcPr>
            <w:tcW w:w="609" w:type="dxa"/>
            <w:vMerge w:val="restart"/>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STT</w:t>
            </w:r>
          </w:p>
        </w:tc>
        <w:tc>
          <w:tcPr>
            <w:tcW w:w="3795" w:type="dxa"/>
            <w:vMerge w:val="restart"/>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Nội dung chi</w:t>
            </w:r>
          </w:p>
        </w:tc>
        <w:tc>
          <w:tcPr>
            <w:tcW w:w="1461" w:type="dxa"/>
            <w:vMerge w:val="restart"/>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Đơn vị tính</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Mức chi  (Nghìn đồng)</w:t>
            </w:r>
          </w:p>
        </w:tc>
      </w:tr>
      <w:tr w:rsidR="000B57F2" w:rsidRPr="000B57F2" w:rsidTr="003F3DDC">
        <w:trPr>
          <w:trHeight w:val="56"/>
          <w:tblHeader/>
        </w:trPr>
        <w:tc>
          <w:tcPr>
            <w:tcW w:w="609" w:type="dxa"/>
            <w:vMerge/>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p>
        </w:tc>
        <w:tc>
          <w:tcPr>
            <w:tcW w:w="3795" w:type="dxa"/>
            <w:vMerge/>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p>
        </w:tc>
        <w:tc>
          <w:tcPr>
            <w:tcW w:w="1461" w:type="dxa"/>
            <w:vMerge/>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p>
        </w:tc>
        <w:tc>
          <w:tcPr>
            <w:tcW w:w="1365" w:type="dxa"/>
            <w:gridSpan w:val="2"/>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Cấp tỉnh</w:t>
            </w:r>
          </w:p>
        </w:tc>
        <w:tc>
          <w:tcPr>
            <w:tcW w:w="1134" w:type="dxa"/>
            <w:gridSpan w:val="2"/>
            <w:shd w:val="clear" w:color="auto" w:fill="auto"/>
            <w:vAlign w:val="center"/>
            <w:hideMark/>
          </w:tcPr>
          <w:p w:rsidR="000B57F2" w:rsidRPr="000B57F2" w:rsidRDefault="000B57F2" w:rsidP="000B57F2">
            <w:pPr>
              <w:spacing w:before="60" w:after="60" w:line="240" w:lineRule="auto"/>
              <w:ind w:left="-108" w:right="-108"/>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Cấp huyện</w:t>
            </w:r>
          </w:p>
        </w:tc>
        <w:tc>
          <w:tcPr>
            <w:tcW w:w="992"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
                <w:bCs/>
                <w:w w:val="80"/>
                <w:sz w:val="26"/>
                <w:szCs w:val="28"/>
                <w:lang w:val="en-US"/>
              </w:rPr>
            </w:pPr>
            <w:r w:rsidRPr="000B57F2">
              <w:rPr>
                <w:rFonts w:ascii="Times New Roman" w:eastAsia="Times New Roman" w:hAnsi="Times New Roman" w:cs="Times New Roman"/>
                <w:b/>
                <w:bCs/>
                <w:w w:val="80"/>
                <w:sz w:val="26"/>
                <w:szCs w:val="28"/>
                <w:lang w:val="en-US"/>
              </w:rPr>
              <w:t>Cấp xã</w:t>
            </w:r>
          </w:p>
        </w:tc>
      </w:tr>
      <w:tr w:rsidR="000B57F2" w:rsidRPr="000B57F2" w:rsidTr="003F3DDC">
        <w:trPr>
          <w:trHeight w:val="2684"/>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công tác phí cho những người đi công tác, kiểm tra, giám sát, bao gồm cả báo cáo viên pháp luật, tuyên truyền viên pháp luật, người được mời tham gia phổ biến, giáo dục pháp luật, cộng tác viên, chuyên gia tham gia đánh giá chuẩn tiếp cận pháp luật, hòa giải viên; chi tổ chức các cuộc họp (bao gồm cả cuộc họp bầu hòa giải viên, bầu tổ trưởng tổ hòa giải), hội nghị chuyên đề, hội nghị tổng kết, sơ kết, triển khai công tác phổ biến, giáo dục pháp luật, chuẩn tiếp cận pháp luật và hòa giải ở cơ sở, các Chương trình, đề án, kế hoạch</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Nghị quyết số 60/2017/NQ-HĐND ngày 10/12/2017 của HĐND tỉnh quy định mức chi công tác phí, chế độ chi hội nghị trên địa bàn tỉnh Sơn La.</w:t>
            </w:r>
          </w:p>
        </w:tc>
      </w:tr>
      <w:tr w:rsidR="000B57F2" w:rsidRPr="000B57F2" w:rsidTr="003F3DDC">
        <w:trPr>
          <w:trHeight w:val="1119"/>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2</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tổ chức đào tạo, tập huấn, bồi dưỡng kiến thức pháp luật, nghiệp vụ, kỹ năng phổ biến, giáo dục pháp luật, chuẩn tiếp cận pháp luật, hoà giải ở cơ sở cho cán bộ, công chức, viên chức; báo cáo viên pháp luật; tuyên truyền viên pháp luật và người được mời tham gia phổ biến, giáo dục pháp luật; hoà giải viên ở cơ sở; người làm công tác phổ biến, giáo dục pháp luật, già làng, trưởng bản, người có uy tín trong cộng đồng các dân tộc thiểu số  theo khoản 3 Điều 17 Luật Phổ biến, giáo dục pháp luật; người làm công tác phổ biến, giáo dục pháp luật cho người khuyết tật theo khoản 3 Điều 20 Luật Phổ biến, giáo dục pháp luật</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đào tạo, tập huấn, bồi dưỡng thực hiện theo quy định tại Nghị quyết số 88/2018/NQ-HĐND ngày 08/12/2018 của HĐND tỉnh quy định một số mức chi đào tạo, bồi dưỡng cán bộ, công chức trên địa bàn tỉnh Sơn La, Nghị quyết số 60/2023/NQ-HĐND ngày 20/7/2023 của HĐND tỉnh Sửa đổi, bổ sung một số nội dung tại phụ lục kèm theo khoản 2 Điều 1 Nghị quyết số 88/2018/NQ-HĐND ngày 08/12/2018 của HĐND tỉnh quy định một số mức chi đào tạo, bồi dưỡng cán bộ, công chức trên địa bàn tỉnh.</w:t>
            </w:r>
          </w:p>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xml:space="preserve">Nội dung và mức chi hỗ trợ tiền ăn, tiền thuê phòng nghỉ, tiền phương tiện đi lại đối với học viên là đại biểu ở cấp xã thực hiện theo mức chi hỗ trợ đối với đại biểu là khách mời không trong danh sách trả lương của cơ quan nhà nước, đơn vị sự nghiệp công lập và doanh nghiệp quy định tại mục 2 Phụ </w:t>
            </w:r>
            <w:r w:rsidRPr="000B57F2">
              <w:rPr>
                <w:rFonts w:ascii="Times New Roman" w:eastAsia="Times New Roman" w:hAnsi="Times New Roman" w:cs="Times New Roman"/>
                <w:w w:val="80"/>
                <w:sz w:val="26"/>
                <w:szCs w:val="28"/>
                <w:lang w:val="en-US"/>
              </w:rPr>
              <w:lastRenderedPageBreak/>
              <w:t>lục kèm theo Nghị quyết số 60/2017/NQ-HĐND ngày 10/12/2017 của HĐND tỉnh quy định mức chi công tác phí, chế độ chi hội nghị trên địa bàn tỉnh Sơn La.</w:t>
            </w:r>
          </w:p>
        </w:tc>
      </w:tr>
      <w:tr w:rsidR="000B57F2" w:rsidRPr="000B57F2" w:rsidTr="003F3DDC">
        <w:trPr>
          <w:trHeight w:val="4669"/>
        </w:trPr>
        <w:tc>
          <w:tcPr>
            <w:tcW w:w="609" w:type="dxa"/>
            <w:vMerge w:val="restart"/>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3</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Chi tổ chức họp báo, hội thảo, tọa đàm trao đổi kinh nghiệm phổ biến, giáo dục pháp luật, chuẩn tiếp cận pháp luật và hòa giải ở cơ sở, giải pháp thực hiện chương trình, đề án, hoạt động của Hội đồng phối hợp phổ biến, giáo dục pháp luật trung ương; bộ, cơ quan ngang bộ; cấp tỉnh; cấp huyện; Hội đồng đánh giá chuẩn tiếp cận pháp luật cấp huyện, Ban chỉ đạo các chương trình, đề án về phổ biến, giáo dục pháp luật, chuẩn tiếp cận pháp luật và hòa giải ở cơ sở (bao gồm: Chi tổ chức các cuộc hội thảo, các phiên họp định kỳ, đột xuất của Hội đồng phối hợp phổ biến, giáo dục pháp luật, Tổ Thư ký giúp việc Hội đồng phối hợp phổ biến, giáo dục pháp luật, Ban chỉ đạo, họp tư vấn, thẩm định của Hội đồng đánh giá chuẩn tiếp cận pháp luật cấp huyện)</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Nghị quyết số 68/2023/NQ-HĐND ngày 04/10/2023 của HĐND tỉnh Sơn La quy định định mức xây dựng dự toán thực hiện nhiệm vụ khoa học và công nghệ sử dụng ngân sách nhà nước trên địa bàn tỉnh Sơn La.</w:t>
            </w:r>
          </w:p>
        </w:tc>
      </w:tr>
      <w:tr w:rsidR="000B57F2" w:rsidRPr="000B57F2" w:rsidTr="003F3DDC">
        <w:trPr>
          <w:trHeight w:val="265"/>
        </w:trPr>
        <w:tc>
          <w:tcPr>
            <w:tcW w:w="609" w:type="dxa"/>
            <w:vMerge/>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b/>
                <w:bCs/>
                <w:w w:val="80"/>
                <w:sz w:val="26"/>
                <w:szCs w:val="28"/>
                <w:lang w:val="en-US"/>
              </w:rPr>
            </w:pP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tổ chức cuộc họp đánh giá đạt chuẩn tiếp cận pháp luật của cấp xã</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2"/>
                <w:w w:val="80"/>
                <w:sz w:val="26"/>
                <w:szCs w:val="28"/>
                <w:lang w:val="en-US"/>
              </w:rPr>
            </w:pPr>
            <w:r w:rsidRPr="000B57F2">
              <w:rPr>
                <w:rFonts w:ascii="Times New Roman" w:eastAsia="Times New Roman" w:hAnsi="Times New Roman" w:cs="Times New Roman"/>
                <w:spacing w:val="-4"/>
                <w:w w:val="80"/>
                <w:sz w:val="26"/>
                <w:szCs w:val="28"/>
                <w:lang w:val="en-US"/>
              </w:rPr>
              <w:t>Nội dung và mức chi chủ trì và các thành viên tham dự thực hiện theo quy định tại điểm a khoản 6 Điều 4 Thông tư số 338/2016/TT-BTC</w:t>
            </w:r>
            <w:r w:rsidRPr="000B57F2">
              <w:rPr>
                <w:rFonts w:ascii="Times New Roman" w:eastAsia="Times New Roman" w:hAnsi="Times New Roman" w:cs="Times New Roman"/>
                <w:spacing w:val="-2"/>
                <w:w w:val="80"/>
                <w:sz w:val="26"/>
                <w:szCs w:val="28"/>
                <w:lang w:val="en-US"/>
              </w:rPr>
              <w:t xml:space="preserve"> ngày 28/12/2016 của Bộ Tài chính quy định lập dự toán, quản lý, sử dụng và quyết toán kinh phí ngân sách nhà nước bảo đảm cho công tác xây dựng văn bản quy phạm pháp luật và hoàn thiện hệ thống pháp luật (được sửa đổi, bổ sung tại khoản 2 Điều 1 Thông tư số 42/2022/TT-BTC ngày 06/7/2022 của Bộ Tài chính sửa đổi, bổ sung một số điều của Thông tư số 338/2016/TT-BTC ngày 28/12/2016 của Bộ Tài chính quy định lập dự toán, quản lý, sử dụng và quyết toán kinh phí ngân sách nhà nước bảo đảm cho công tác xây dựng văn bản quy phạm pháp luật và hoàn thiện hệ thống pháp luật).</w:t>
            </w:r>
          </w:p>
        </w:tc>
      </w:tr>
      <w:tr w:rsidR="000B57F2" w:rsidRPr="000B57F2" w:rsidTr="003F3DDC">
        <w:trPr>
          <w:trHeight w:val="4141"/>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4</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ứng dụng công nghệ thông tin trong công tác phổ biến, giáo dục pháp luật, chuẩn tiếp cận pháp luật và hòa giải ở cơ sở; đăng tải thông tin pháp luật, các thông tin khác về hoạt động xây dựng và thực hiện pháp luật, hỏi đáp pháp luật cần thiết cho người dân trên cổng/trang thông tin điện tử sử dụng từ nguồn kinh phí chi thường xuyên; xây dựng và vận hành Tủ sách pháp luật điện tử quốc gia, các dự án, đề án, chương trình ứng dụng công nghệ thông tin, kỹ thuật số, mạng xã hội trong công tác phổ biến, giáo dục pháp luật, chuẩn tiếp cận pháp luật và hòa giải ở cơ sở theo chương trình, dự án, kế hoạch được cấp có thẩm quyền phê duyệt</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Nghị định số 73/2019/NĐ-CP ngày 05/9/2019 của Chính phủ quy định quản lý đầu tư ứng dụng công nghệ thông tin sử dụng nguồn vốn ngân sách nhà nước và quy định của pháp luật có liên quan; các định mức kinh tế - kỹ thuật trong lĩnh vực thông tin và truyền thông.</w:t>
            </w:r>
          </w:p>
        </w:tc>
      </w:tr>
      <w:tr w:rsidR="000B57F2" w:rsidRPr="000B57F2" w:rsidTr="003F3DDC">
        <w:trPr>
          <w:trHeight w:val="56"/>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5</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biên dịch tài liệu phục vụ phổ biến, giáo dục pháp luật, chuẩn tiếp cận pháp luật và hòa giải ở cơ sở và thực hiện thông tin, truyền thông trên phương tiện thông tin đại chúng:</w:t>
            </w:r>
          </w:p>
        </w:tc>
      </w:tr>
      <w:tr w:rsidR="000B57F2" w:rsidRPr="000B57F2" w:rsidTr="003F3DDC">
        <w:trPr>
          <w:trHeight w:val="2179"/>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Chi biên soạn tài liệu (hoặc bài giảng) giới thiệu Luật, Pháp lệnh; thông cáo báo chí, sách, đặc san, tài liệu chuyên đề pháp luật, tài liệu tham khảo, hướng dẫn nghiệp vụ phổ biến, giáo dục pháp luật, chuẩn tiếp cận pháp luật và hòa giải ở cơ sở để phát hành hoặc đăng tải trên cổng/trang thông tin điện tử và biên soạn chương trình giáo dục pháp luật, sách, tài liệu tham khảo, hướng dẫn giáo dục pháp luật trong nhà trường</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Thông tư số 76/2018/TT-BTC ngày 17/8/2018 của Bộ Tài chính hướng dẫn nội dung, mức chi xây dựng chương trình đào tạo, biên soạn giáo trình môn học đối với giáo dục đại học, giáo dục nghề nghiệp.</w:t>
            </w:r>
          </w:p>
        </w:tc>
      </w:tr>
      <w:tr w:rsidR="000B57F2" w:rsidRPr="000B57F2" w:rsidTr="003F3DDC">
        <w:trPr>
          <w:trHeight w:val="906"/>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đồ họa thông tin pháp luật</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Nội dung và mức chi thực hiện theo quy định tại Thông tư số 83/2021/TT-BTC ngày 04/10/2021 của Bộ Tài chính hướng dẫn quản lý kinh phí tập huấn, bồi dưỡng giáo viên và cán bộ quản lý cơ sở giáo dục để thực hiện chương trình mới, sách giáo khoa mới giáo dục phổ thông.</w:t>
            </w:r>
          </w:p>
        </w:tc>
      </w:tr>
      <w:tr w:rsidR="000B57F2" w:rsidRPr="000B57F2" w:rsidTr="003F3DDC">
        <w:trPr>
          <w:trHeight w:val="56"/>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c</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sách nói pháp luật</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Nội dung và mức chi thực hiện theo quy định tại Nghị định số 18/2014/NĐ-CP ngày 14 tháng 3 năm 2014 của Chính phủ về chế độ nhuận bút trong lĩnh vực báo chí xuất bản.</w:t>
            </w:r>
          </w:p>
        </w:tc>
      </w:tr>
      <w:tr w:rsidR="000B57F2" w:rsidRPr="000B57F2" w:rsidTr="003F3DDC">
        <w:trPr>
          <w:trHeight w:val="2029"/>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bài giảng điện tử</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Thông tư số 55/2023/TT-BTC ngày 15/8/2023 của Bộ Tài chính quy định quản lý, sử dụng và quyết toán kinh phí sự nghiệp từ nguồn ngân sách nhà nước thực hiện các chương trình mục tiêu quốc gia giai đoạn 2021-2025.</w:t>
            </w:r>
          </w:p>
        </w:tc>
      </w:tr>
      <w:tr w:rsidR="000B57F2" w:rsidRPr="000B57F2" w:rsidTr="003F3DDC">
        <w:trPr>
          <w:trHeight w:val="1704"/>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xây dựng chương trình, chuyên mục; in ấn các ấn phẩm, tài liệu; sản xuất, phát hành các băng rôn, khẩu hiệu, băng, đĩa để phục vụ công tác phổ biến, giáo dục pháp luật, chuẩn tiếp cận pháp luật và hòa giải ở cơ sở; thực hiện truyền thông trên báo, tạp chí, đài truyền hình, tập san, bản tin, thông tin lưu động, triển lãm chuyên đề, làm bảng thông tin và hộp tin</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định mức, đơn giá của các ngành có công việc tương tự và theo chứng từ chi thực tế hợp pháp được cấp có thẩm quyền phê duyệt trong dự toán ngân sách hàng năm.</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đ</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xml:space="preserve">Chi biên dịch các tài liệu phổ biến, giáo dục pháp luật, chuẩn tiếp cận pháp luật và hòa giải ở cơ sở (bao gồm cả tiếng dân tộc thiểu số được hiểu là ngôn ngữ không phổ thông): </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spacing w:val="-6"/>
                <w:w w:val="80"/>
                <w:sz w:val="26"/>
                <w:szCs w:val="28"/>
                <w:lang w:val="en-US"/>
              </w:rPr>
            </w:pPr>
            <w:r w:rsidRPr="000B57F2">
              <w:rPr>
                <w:rFonts w:ascii="Times New Roman" w:eastAsia="Times New Roman" w:hAnsi="Times New Roman" w:cs="Times New Roman"/>
                <w:spacing w:val="-6"/>
                <w:w w:val="80"/>
                <w:sz w:val="26"/>
                <w:szCs w:val="28"/>
                <w:lang w:val="en-US"/>
              </w:rPr>
              <w:t>Dịch tài liệu tiếng nước ngoài sang tiếng Việt</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150.000 đồng/trang (350 từ/trang tài liệu được dịch).</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spacing w:val="-6"/>
                <w:w w:val="80"/>
                <w:sz w:val="26"/>
                <w:szCs w:val="28"/>
                <w:lang w:val="en-US"/>
              </w:rPr>
            </w:pPr>
            <w:r w:rsidRPr="000B57F2">
              <w:rPr>
                <w:rFonts w:ascii="Times New Roman" w:eastAsia="Times New Roman" w:hAnsi="Times New Roman" w:cs="Times New Roman"/>
                <w:spacing w:val="-6"/>
                <w:w w:val="80"/>
                <w:sz w:val="26"/>
                <w:szCs w:val="28"/>
                <w:lang w:val="en-US"/>
              </w:rPr>
              <w:t>Dịch tài liệu tiếng Việt sang tiếng nước ngoài</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180.000 đồng/trang (350 từ/trang tài liệu được dịch).</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Dịch tài liệu tiếng Việt sang tiếng dân tộc thiểu số</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150.000 đồng/trang (350 từ/trang tài liệu được dịch).</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6</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một số tài liệu phổ biến, giáo dục pháp luật, chuẩn tiếp cận pháp luật và hòa giải ở cơ sở đặc thù:</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Tờ gấp pháp luật (bao gồm biên soạn, biên tập, thẩm định)</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Tờ gấp đã hoàn thành</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1.100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900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700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Tình huống giải đáp pháp luật (bao gồm biên soạn, biên tập, thẩm định)</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Tình huống  đã hoàn thành</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270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170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c</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Câu chuyện pháp luật (bao gồm biên soạn, biên tập, thẩm định)</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Câu chuyện  đã hoàn thành</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1.700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1.400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1.000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Tiểu phẩm pháp luật (bao gồm biên soạn, biên tập, thẩm định, lấy ý kiến chuyên gia)</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Tiểu phẩm             đã hoàn thành</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5.600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4.500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3.400</w:t>
            </w:r>
          </w:p>
        </w:tc>
      </w:tr>
      <w:tr w:rsidR="000B57F2" w:rsidRPr="000B57F2" w:rsidTr="003F3DDC">
        <w:trPr>
          <w:trHeight w:val="124"/>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7</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khen thưởng cá nhân, tập thể có thành tích xuất sắc về phổ biến, giáo dục pháp luật, chuẩn tiếp cận pháp luật và hòa giải ở cơ sở thực hiện theo quy định hiện hành về thi đua, khen thưởng.</w:t>
            </w:r>
          </w:p>
        </w:tc>
      </w:tr>
      <w:tr w:rsidR="000B57F2" w:rsidRPr="000B57F2" w:rsidTr="003F3DDC">
        <w:trPr>
          <w:trHeight w:val="3101"/>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8</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Chi thực hiện các cuộc điều tra, khảo sát về công tác phổ biến, giáo dục pháp luật, chuẩn tiếp cận pháp luật và hòa giải ở cơ sở</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Thực hiện theo quy định tại Nghị quyết số 14/2016/NQ-HĐND ngày 14/12/2016  của HĐND tỉnh quy định nội dung, mức chi các cuộc điều tra thống kê trên địa bàn tỉnh Sơn La; Thông tư số 109/2016/TT-BTC ngày 30/6/2016 của Bộ Tài chính quy định lập dự toán, quản lý, sử dụng và quyết toán kinh phí thực hiện các cuộc điều tra thống kê, Tổng điều tra thống kê quốc gia và Thông tư số 37/2022/TT-BTC ngày 22/6/2022 sửa đổi, bổ sung khoản 9 Điều 3 và Mẫu số 01 kèm theo Thông tư số 109/2016/TT-BTC ngày 30/6/2016 của Bộ Tài chính quy định lập dự toán, quản lý, sử dụng và quyết toán kinh phí thực hiện các cuộc điều tra thống kê, Tổng điều tra thống kê quốc gia.</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9</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tiền lương làm việc vào ban đêm, làm thêm giờ, thực hiện theo quy định của Bộ luật Lao động và các văn bản hướng dẫn thi hành luật.</w:t>
            </w:r>
          </w:p>
        </w:tc>
      </w:tr>
      <w:tr w:rsidR="000B57F2" w:rsidRPr="000B57F2" w:rsidTr="003F3DDC">
        <w:trPr>
          <w:trHeight w:val="254"/>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10</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xây dựng chương trình, đề án, kế hoạch phổ biến giáo dục pháp luật, chuẩn tiếp cận pháp luật và hòa giải ở cơ sở và truyền thông chính sách có tác động lớn đến xã hội trong quá trình xây dựng văn bản quy phạm pháp luật; các văn bản quản lý, chỉ đạo, hướng dẫn chương trình, đề án, kế hoạch của Hội đồng phối hợp phổ biến, giáo dục pháp luật, Hội đồng đánh giá chuẩn tiếp cận pháp luật, Ban chỉ đạo các chương trình, đề án, kế hoạch, gồm:</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Xây dựng đề cương:</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Xây dựng đề cương chi tiết</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Đề cương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1.200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1.050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900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Tổng hợp hoàn chỉnh đề cương tổng quát</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Đề cương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1.800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1.500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Soạn thảo chương trình, đề án, kế hoạch:</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Soạn thảo Chương trình, Đề án, Kế hoạch</w:t>
            </w:r>
          </w:p>
        </w:tc>
        <w:tc>
          <w:tcPr>
            <w:tcW w:w="1461" w:type="dxa"/>
            <w:shd w:val="clear" w:color="auto" w:fill="auto"/>
            <w:hideMark/>
          </w:tcPr>
          <w:p w:rsidR="000B57F2" w:rsidRPr="000B57F2" w:rsidRDefault="000B57F2" w:rsidP="000B57F2">
            <w:pPr>
              <w:spacing w:before="60" w:after="60" w:line="240" w:lineRule="auto"/>
              <w:ind w:left="-57" w:right="-57"/>
              <w:jc w:val="center"/>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 xml:space="preserve">Chương trình, </w:t>
            </w:r>
            <w:r w:rsidRPr="000B57F2">
              <w:rPr>
                <w:rFonts w:ascii="Times New Roman" w:eastAsia="Times New Roman" w:hAnsi="Times New Roman" w:cs="Times New Roman"/>
                <w:spacing w:val="-8"/>
                <w:w w:val="80"/>
                <w:sz w:val="26"/>
                <w:szCs w:val="28"/>
                <w:lang w:val="en-US"/>
              </w:rPr>
              <w:t>Đề án, Kế hoạch</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2.400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1.800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Soạn thảo báo cáo tiếp thu, tổng hợp ý kiến</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Báo cáo</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c</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Tổ chức họp, tọa đàm góp ý:</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Chủ trì</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Người/buổi</w:t>
            </w:r>
          </w:p>
        </w:tc>
        <w:tc>
          <w:tcPr>
            <w:tcW w:w="1220" w:type="dxa"/>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150</w:t>
            </w:r>
          </w:p>
        </w:tc>
        <w:tc>
          <w:tcPr>
            <w:tcW w:w="1207"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90</w:t>
            </w:r>
          </w:p>
        </w:tc>
        <w:tc>
          <w:tcPr>
            <w:tcW w:w="1064"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70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Thành viên dự</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Người/buổi</w:t>
            </w:r>
          </w:p>
        </w:tc>
        <w:tc>
          <w:tcPr>
            <w:tcW w:w="1220" w:type="dxa"/>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100</w:t>
            </w:r>
          </w:p>
        </w:tc>
        <w:tc>
          <w:tcPr>
            <w:tcW w:w="1207"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60</w:t>
            </w:r>
          </w:p>
        </w:tc>
        <w:tc>
          <w:tcPr>
            <w:tcW w:w="1064"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Ý kiến tư vấn chuyên gia</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Văn bản</w:t>
            </w:r>
          </w:p>
        </w:tc>
        <w:tc>
          <w:tcPr>
            <w:tcW w:w="1220" w:type="dxa"/>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500</w:t>
            </w:r>
          </w:p>
        </w:tc>
        <w:tc>
          <w:tcPr>
            <w:tcW w:w="1207"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400</w:t>
            </w:r>
          </w:p>
        </w:tc>
        <w:tc>
          <w:tcPr>
            <w:tcW w:w="1064"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đ</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Xét duyệt Chương trình, Đề án, Kế hoạch</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Chủ tịch hội đồng</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Người/buổi</w:t>
            </w:r>
          </w:p>
        </w:tc>
        <w:tc>
          <w:tcPr>
            <w:tcW w:w="3491" w:type="dxa"/>
            <w:gridSpan w:val="5"/>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Thành viên hội đồng, thư ký</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Người/buổi</w:t>
            </w:r>
          </w:p>
        </w:tc>
        <w:tc>
          <w:tcPr>
            <w:tcW w:w="3491" w:type="dxa"/>
            <w:gridSpan w:val="5"/>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150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Đại biểu được mời tham dự</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Người/buổi</w:t>
            </w:r>
          </w:p>
        </w:tc>
        <w:tc>
          <w:tcPr>
            <w:tcW w:w="3491" w:type="dxa"/>
            <w:gridSpan w:val="5"/>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Nhận xét, phản biện của Hội đồng</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Bài viết</w:t>
            </w:r>
          </w:p>
        </w:tc>
        <w:tc>
          <w:tcPr>
            <w:tcW w:w="1220" w:type="dxa"/>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w:t>
            </w:r>
          </w:p>
        </w:tc>
        <w:tc>
          <w:tcPr>
            <w:tcW w:w="1207"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240</w:t>
            </w:r>
          </w:p>
        </w:tc>
        <w:tc>
          <w:tcPr>
            <w:tcW w:w="1064"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Bài nhận xét của ủy viên Hội đồng</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Bài viết</w:t>
            </w:r>
          </w:p>
        </w:tc>
        <w:tc>
          <w:tcPr>
            <w:tcW w:w="1220" w:type="dxa"/>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w:t>
            </w:r>
          </w:p>
        </w:tc>
        <w:tc>
          <w:tcPr>
            <w:tcW w:w="1207"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180</w:t>
            </w:r>
          </w:p>
        </w:tc>
        <w:tc>
          <w:tcPr>
            <w:tcW w:w="1064"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150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e</w:t>
            </w:r>
          </w:p>
        </w:tc>
        <w:tc>
          <w:tcPr>
            <w:tcW w:w="3795" w:type="dxa"/>
            <w:shd w:val="clear" w:color="auto" w:fill="auto"/>
            <w:hideMark/>
          </w:tcPr>
          <w:p w:rsidR="000B57F2" w:rsidRPr="000B57F2" w:rsidRDefault="000B57F2" w:rsidP="000B57F2">
            <w:pPr>
              <w:spacing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Lấy ý kiến thẩm định: Trường hợp không thành lập hội đồng xét duyệt Chương trình, Đề án, Kế hoạch</w:t>
            </w:r>
          </w:p>
        </w:tc>
        <w:tc>
          <w:tcPr>
            <w:tcW w:w="1461" w:type="dxa"/>
            <w:shd w:val="clear" w:color="auto" w:fill="auto"/>
            <w:vAlign w:val="center"/>
            <w:hideMark/>
          </w:tcPr>
          <w:p w:rsidR="000B57F2" w:rsidRPr="000B57F2" w:rsidRDefault="000B57F2" w:rsidP="000B57F2">
            <w:pPr>
              <w:spacing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Bài viết</w:t>
            </w:r>
          </w:p>
        </w:tc>
        <w:tc>
          <w:tcPr>
            <w:tcW w:w="1220" w:type="dxa"/>
            <w:shd w:val="clear" w:color="auto" w:fill="auto"/>
            <w:vAlign w:val="center"/>
            <w:hideMark/>
          </w:tcPr>
          <w:p w:rsidR="000B57F2" w:rsidRPr="000B57F2" w:rsidRDefault="000B57F2" w:rsidP="000B57F2">
            <w:pPr>
              <w:spacing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500</w:t>
            </w:r>
          </w:p>
        </w:tc>
        <w:tc>
          <w:tcPr>
            <w:tcW w:w="1207" w:type="dxa"/>
            <w:gridSpan w:val="2"/>
            <w:shd w:val="clear" w:color="auto" w:fill="auto"/>
            <w:vAlign w:val="center"/>
            <w:hideMark/>
          </w:tcPr>
          <w:p w:rsidR="000B57F2" w:rsidRPr="000B57F2" w:rsidRDefault="000B57F2" w:rsidP="000B57F2">
            <w:pPr>
              <w:spacing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400</w:t>
            </w:r>
          </w:p>
        </w:tc>
        <w:tc>
          <w:tcPr>
            <w:tcW w:w="1064" w:type="dxa"/>
            <w:gridSpan w:val="2"/>
            <w:shd w:val="clear" w:color="auto" w:fill="auto"/>
            <w:vAlign w:val="center"/>
            <w:hideMark/>
          </w:tcPr>
          <w:p w:rsidR="000B57F2" w:rsidRPr="000B57F2" w:rsidRDefault="000B57F2" w:rsidP="000B57F2">
            <w:pPr>
              <w:spacing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g</w:t>
            </w:r>
          </w:p>
        </w:tc>
        <w:tc>
          <w:tcPr>
            <w:tcW w:w="3795" w:type="dxa"/>
            <w:shd w:val="clear" w:color="auto" w:fill="auto"/>
            <w:hideMark/>
          </w:tcPr>
          <w:p w:rsidR="000B57F2" w:rsidRPr="000B57F2" w:rsidRDefault="000B57F2" w:rsidP="000B57F2">
            <w:pPr>
              <w:spacing w:before="60" w:after="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Xây dựng các văn bản quản lý, chỉ đạo, hướng dẫn Chương trình, Đề án, Kế hoạch</w:t>
            </w:r>
          </w:p>
        </w:tc>
        <w:tc>
          <w:tcPr>
            <w:tcW w:w="1461" w:type="dxa"/>
            <w:shd w:val="clear" w:color="auto" w:fill="auto"/>
            <w:vAlign w:val="center"/>
            <w:hideMark/>
          </w:tcPr>
          <w:p w:rsidR="000B57F2" w:rsidRPr="000B57F2" w:rsidRDefault="000B57F2" w:rsidP="000B57F2">
            <w:pPr>
              <w:spacing w:before="60" w:after="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Văn bản</w:t>
            </w:r>
          </w:p>
        </w:tc>
        <w:tc>
          <w:tcPr>
            <w:tcW w:w="1220" w:type="dxa"/>
            <w:shd w:val="clear" w:color="auto" w:fill="auto"/>
            <w:vAlign w:val="center"/>
            <w:hideMark/>
          </w:tcPr>
          <w:p w:rsidR="000B57F2" w:rsidRPr="000B57F2" w:rsidRDefault="000B57F2" w:rsidP="000B57F2">
            <w:pPr>
              <w:spacing w:before="60" w:after="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500</w:t>
            </w:r>
          </w:p>
        </w:tc>
        <w:tc>
          <w:tcPr>
            <w:tcW w:w="1207" w:type="dxa"/>
            <w:gridSpan w:val="2"/>
            <w:shd w:val="clear" w:color="auto" w:fill="auto"/>
            <w:vAlign w:val="center"/>
            <w:hideMark/>
          </w:tcPr>
          <w:p w:rsidR="000B57F2" w:rsidRPr="000B57F2" w:rsidRDefault="000B57F2" w:rsidP="000B57F2">
            <w:pPr>
              <w:spacing w:before="60" w:after="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400</w:t>
            </w:r>
          </w:p>
        </w:tc>
        <w:tc>
          <w:tcPr>
            <w:tcW w:w="1064" w:type="dxa"/>
            <w:gridSpan w:val="2"/>
            <w:shd w:val="clear" w:color="auto" w:fill="auto"/>
            <w:vAlign w:val="center"/>
            <w:hideMark/>
          </w:tcPr>
          <w:p w:rsidR="000B57F2" w:rsidRPr="000B57F2" w:rsidRDefault="000B57F2" w:rsidP="000B57F2">
            <w:pPr>
              <w:spacing w:before="60" w:after="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11</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thù lao:</w:t>
            </w:r>
          </w:p>
        </w:tc>
      </w:tr>
      <w:tr w:rsidR="000B57F2" w:rsidRPr="000B57F2" w:rsidTr="003F3DDC">
        <w:trPr>
          <w:trHeight w:val="2028"/>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Thù lao báo cáo viên pháp luật, tuyên truyền viên pháp luật, hoà giải viên cơ sở, người được mời tham gia thực hiện phổ biến, giáo dục pháp luật, chuẩn tiếp cận pháp luật và hòa giải ở cơ sở; hướng dẫn sinh hoạt chuyên đề Câu lạc bộ pháp luật, nhóm nòng cốt với tư cách là giảng viên</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spacing w:val="-6"/>
                <w:w w:val="80"/>
                <w:sz w:val="26"/>
                <w:szCs w:val="28"/>
                <w:lang w:val="en-US"/>
              </w:rPr>
            </w:pPr>
            <w:r w:rsidRPr="000B57F2">
              <w:rPr>
                <w:rFonts w:ascii="Times New Roman" w:eastAsia="Times New Roman" w:hAnsi="Times New Roman" w:cs="Times New Roman"/>
                <w:spacing w:val="-6"/>
                <w:w w:val="80"/>
                <w:sz w:val="26"/>
                <w:szCs w:val="28"/>
                <w:lang w:val="en-US"/>
              </w:rPr>
              <w:t xml:space="preserve">Thực hiện theo chế độ thù lao giảng viên quy định tại điểm 1, mục II Phụ lục kèm theo Nghị quyết số 88/2018/NQ-HĐND ngày 08/12/2018 của HĐND tỉnh quy định một số mức chi đào tạo, bồi dưỡng cán bộ, công chức trên địa bàn tỉnh. Trường hợp thực hiện phổ biến giáo dục pháp luật cho các đối tượng đặc thù theo </w:t>
            </w:r>
            <w:r w:rsidRPr="000B57F2">
              <w:rPr>
                <w:rFonts w:ascii="Times New Roman" w:eastAsia="Times New Roman" w:hAnsi="Times New Roman" w:cs="Times New Roman"/>
                <w:spacing w:val="-8"/>
                <w:w w:val="80"/>
                <w:sz w:val="26"/>
                <w:szCs w:val="28"/>
                <w:lang w:val="en-US"/>
              </w:rPr>
              <w:t>quy định tại các Điều 17, 18, 19, 20, 21, 22</w:t>
            </w:r>
            <w:r w:rsidRPr="000B57F2">
              <w:rPr>
                <w:rFonts w:ascii="Times New Roman" w:eastAsia="Times New Roman" w:hAnsi="Times New Roman" w:cs="Times New Roman"/>
                <w:spacing w:val="-6"/>
                <w:w w:val="80"/>
                <w:sz w:val="26"/>
                <w:szCs w:val="28"/>
                <w:lang w:val="en-US"/>
              </w:rPr>
              <w:t xml:space="preserve"> </w:t>
            </w:r>
            <w:r w:rsidRPr="000B57F2">
              <w:rPr>
                <w:rFonts w:ascii="Times New Roman" w:eastAsia="Times New Roman" w:hAnsi="Times New Roman" w:cs="Times New Roman"/>
                <w:spacing w:val="-8"/>
                <w:w w:val="80"/>
                <w:sz w:val="26"/>
                <w:szCs w:val="28"/>
                <w:lang w:val="en-US"/>
              </w:rPr>
              <w:t>của Luật Phổ biến, giáo dục pháp luật được hưởng thêm 20% mức thù lao được nhận.</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Thù lao huy động chuyên gia, nhà khoa học, nhà hoạt động thực tiễn tham gia triển khai các nhiệm vụ của Hội đồng phối hợp phổ biến, giáo dục pháp luật</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theo quy định tại Thông tư số 02/2015/TT-BLĐTBXH ngày 12/01/2015 của Bộ Lao động - Thương binh và Xã hội quy định mức lương đối với chuyên gia tư vấn trong nước làm cơ sở dự toán gói thầu cung cấp dịch vụ tư vấn áp dụng hình thức hợp đồng theo thời gian sử dụng vốn nhà nước. Danh sách chuyên gia, nhà khoa học, nhà hoạt động thực tiễn được chi trả thù lao huy động do người có thẩm quyền quy định tại Điều 3 Quyết định số 21/2021/QĐ-TTg ngày 21/6/2021 của Thủ tướng Chính phủ quy định về thành phần và nhiệm vụ, quyền hạn của Hội đồng phối hợp phổ biến, giáo dục pháp luật quyết định.</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12</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xây dựng và duy trì sinh hoạt Câu lạc bộ pháp luật, nhóm nòng cốt:</w:t>
            </w:r>
          </w:p>
        </w:tc>
      </w:tr>
      <w:tr w:rsidR="000B57F2" w:rsidRPr="000B57F2" w:rsidTr="003F3DDC">
        <w:trPr>
          <w:trHeight w:val="105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xml:space="preserve">Chi hỗ trợ tiền ăn, nước uống cho thành viên tham gia hội nghị ra mắt Câu lạc bộ pháp luật </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ind w:left="-161" w:right="-108"/>
              <w:jc w:val="center"/>
              <w:rPr>
                <w:rFonts w:ascii="Times New Roman" w:eastAsia="Times New Roman" w:hAnsi="Times New Roman" w:cs="Times New Roman"/>
                <w:spacing w:val="-6"/>
                <w:w w:val="80"/>
                <w:sz w:val="26"/>
                <w:szCs w:val="28"/>
                <w:lang w:val="en-US"/>
              </w:rPr>
            </w:pPr>
            <w:r w:rsidRPr="000B57F2">
              <w:rPr>
                <w:rFonts w:ascii="Times New Roman" w:eastAsia="Times New Roman" w:hAnsi="Times New Roman" w:cs="Times New Roman"/>
                <w:spacing w:val="-6"/>
                <w:w w:val="80"/>
                <w:sz w:val="26"/>
                <w:szCs w:val="28"/>
                <w:lang w:val="en-US"/>
              </w:rPr>
              <w:t xml:space="preserve"> 40.000 đồng/người/ngày (không quá 1 ngày)</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tiền nước uống cho người dự sinh hoạt Câu lạc bộ pháp luật, nhóm nòng cốt</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20.000 đồng/người/buổi.</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13</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tổ chức cuộc thi, hội thi:</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tổ chức cuộc thi, hội thi viết, thi sân khấu, trên internet về tìm hiểu pháp luật, nghiệp vụ phổ biến, giáo dục pháp luật, chuẩn tiếp cận pháp luật và hòa giải ở cơ sở, bao gồm:</w:t>
            </w:r>
          </w:p>
        </w:tc>
      </w:tr>
      <w:tr w:rsidR="000B57F2" w:rsidRPr="000B57F2" w:rsidTr="003F3DDC">
        <w:trPr>
          <w:trHeight w:val="2269"/>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hỗ trợ tiền ăn, ở cho thành viên ban tổ chức, các ban, tiểu ban, hội đồng trong những ngày tham gia trực tiếp tổ chức cuộc thi theo quyết định của cấp có thẩm quyền; Chi hỗ trợ tiền ăn, ở cho thí sinh tham gia cuộc thi (kể cả ngày tập luyện và thi, tối đa không quá 10 ngày). Cán bộ, công chức, viên chức đã được hưởng khoản hỗ trợ tiền ăn, ở thì không được thanh toán công tác phí ở cơ quan.</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Nghị quyết số 60/2017/NQ-HĐND ngày 10/12/2017 của HĐND tỉnh quy định mức chi công tác phí, chế độ chi hội nghị trên địa bàn tỉnh Sơn La.</w:t>
            </w:r>
          </w:p>
        </w:tc>
      </w:tr>
      <w:tr w:rsidR="000B57F2" w:rsidRPr="000B57F2" w:rsidTr="003F3DDC">
        <w:trPr>
          <w:trHeight w:val="1279"/>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tổ chức cuộc thi, hội thi sân khấu, thi trên mạng internet, thi trên sóng phát thanh - truyền hình có thêm chi thuê dẫn chương trình, thuê diễn văn nghệ lồng ghép tiểu phẩm pháp luật; chi phí hậu kỳ, hội trường, trang thiết bị và các khoản chi khác phục vụ cuộc thi</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điểm c khoản này và theo chứng từ chi thực tế hợp pháp được cấp có thẩm quyền phê duyệt trong dự toán ngân sách hàng năm.</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đề thi, xây dựng ngân hàng câu hỏi thi, bồi dưỡng thành viên ban tổ chức, các ban, tiểu ban, hội đồng và một số nội dung chi khác để phục vụ tổ chức cuộc thi:</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b1</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biên soạn đề thi, đáp án (bao gồm cả đề thi, đáp án, biểu điểm)</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550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b2</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bồi dưỡng Ban giám khảo, Ban tổ chức:</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Trưởng ban</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Phó ban</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290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Thành viên, thư ký</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240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Bảo vệ</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130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fr-FR"/>
              </w:rPr>
            </w:pPr>
            <w:r w:rsidRPr="000B57F2">
              <w:rPr>
                <w:rFonts w:ascii="Times New Roman" w:eastAsia="Times New Roman" w:hAnsi="Times New Roman" w:cs="Times New Roman"/>
                <w:w w:val="80"/>
                <w:sz w:val="26"/>
                <w:szCs w:val="28"/>
                <w:lang w:val="fr-FR"/>
              </w:rPr>
              <w:t>Nhân viên y tế, phục vụ</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55</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c</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tổ chức cuộc thi sân khấu, thi trên Internet, có thêm mức chi đặc thù sau:</w:t>
            </w:r>
          </w:p>
        </w:tc>
      </w:tr>
      <w:tr w:rsidR="000B57F2" w:rsidRPr="000B57F2" w:rsidTr="003F3DDC">
        <w:trPr>
          <w:trHeight w:val="40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Thuê dẫn chương trình:</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Tùy theo quy mô, cấp tổ chức, cơ quan, đơn vị được giao chủ trì tổ chức cuộc thi quyết định mức thuê dẫn chương trình.</w:t>
            </w:r>
          </w:p>
        </w:tc>
      </w:tr>
      <w:tr w:rsidR="000B57F2" w:rsidRPr="000B57F2" w:rsidTr="003F3DDC">
        <w:trPr>
          <w:trHeight w:val="914"/>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Thuê hội trường và thiết bị phục vụ cuộc thi sân khấu:</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Tùy theo quy mô, cấp tổ chức, địa bàn tổ chức cuộc thi, cơ quan, đơn vị được giao chủ trì tổ chức cuộc thi quyết định mức thuê hội trường và thiết bị.</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Thuê văn nghệ, diễn viên</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Người/ngày</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270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w:t>
            </w:r>
          </w:p>
        </w:tc>
      </w:tr>
      <w:tr w:rsidR="000B57F2" w:rsidRPr="000B57F2" w:rsidTr="003F3DDC">
        <w:trPr>
          <w:trHeight w:val="4256"/>
        </w:trPr>
        <w:tc>
          <w:tcPr>
            <w:tcW w:w="609"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bCs/>
                <w:w w:val="80"/>
                <w:sz w:val="26"/>
                <w:szCs w:val="28"/>
                <w:lang w:val="en-US"/>
              </w:rPr>
            </w:pP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Thu thập thông tin, tư liệu, lập hệ cơ sở dữ liệu tin học hoá (đối với cuộc thi qua mạng điện tử)</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Nghị định số 73/2019/NĐ-CP ngày 05/9/2019 của Chính phủ quy định quản lý đầu tư ứng dụng công nghệ thông tin sử dụng nguồn vốn ngân sách nhà nước và quy định của pháp luật có liên quan; Thông tư số 18/2021/TT-BTTTT ngày 30/11/2021 của Bộ Thông tin và Truyền thông ban hành định mức kinh tế - kỹ thuật hoạt động báo in, báo điện tử; Thông tư số 42/2020/TT-BTTTT ngày 31/12/2020 của Bộ Thông tin và Truyền thông ban hành định mức kinh tế - kỹ thuật hoạt động xuất bản, các định mức kinh tế - kỹ thuật, đơn giá được cơ quan có thẩm quyền ban hành và các chế độ, định mức chi tiêu quy định hiện hành của cơ quan Nhà nước.</w:t>
            </w:r>
          </w:p>
        </w:tc>
      </w:tr>
      <w:tr w:rsidR="000B57F2" w:rsidRPr="000B57F2" w:rsidTr="003F3DDC">
        <w:trPr>
          <w:trHeight w:val="424"/>
        </w:trPr>
        <w:tc>
          <w:tcPr>
            <w:tcW w:w="609" w:type="dxa"/>
            <w:shd w:val="clear" w:color="auto" w:fill="auto"/>
            <w:vAlign w:val="center"/>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w:t>
            </w:r>
          </w:p>
        </w:tc>
        <w:tc>
          <w:tcPr>
            <w:tcW w:w="3795" w:type="dxa"/>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giải thưởng:</w:t>
            </w:r>
          </w:p>
        </w:tc>
        <w:tc>
          <w:tcPr>
            <w:tcW w:w="1461" w:type="dxa"/>
            <w:shd w:val="clear" w:color="auto" w:fill="auto"/>
            <w:vAlign w:val="center"/>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d1</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nhất</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1220"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1207" w:type="dxa"/>
            <w:gridSpan w:val="2"/>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1064" w:type="dxa"/>
            <w:gridSpan w:val="2"/>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Tập thể</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11.000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9.000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6.700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Cá nhân</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6.700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5.000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4.000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d2</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nhì</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Tập thể</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8.000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6.000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4.500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Cá nhân</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2.700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d3</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ba</w:t>
            </w:r>
          </w:p>
        </w:tc>
        <w:tc>
          <w:tcPr>
            <w:tcW w:w="4952" w:type="dxa"/>
            <w:gridSpan w:val="6"/>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Tập thể</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5.500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4.500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Cá nhân</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2.200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1.700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1.100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d4</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khuyến khích</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Tập thể</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2.700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Cá nhân</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1.100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900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670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đ</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phụ khác</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Giải thưởng</w:t>
            </w:r>
          </w:p>
        </w:tc>
        <w:tc>
          <w:tcPr>
            <w:tcW w:w="1220" w:type="dxa"/>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560</w:t>
            </w:r>
          </w:p>
        </w:tc>
        <w:tc>
          <w:tcPr>
            <w:tcW w:w="1207"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450</w:t>
            </w:r>
          </w:p>
        </w:tc>
        <w:tc>
          <w:tcPr>
            <w:tcW w:w="1064" w:type="dxa"/>
            <w:gridSpan w:val="2"/>
            <w:shd w:val="clear" w:color="auto" w:fill="auto"/>
            <w:vAlign w:val="center"/>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14</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thực hiện báo cáo thống kê về hoạt động phổ biến, giáo dục pháp luật, chuẩn tiếp cận pháp luật và hòa giải ở cơ sở:</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Thu thập thông tin, xử lý số liệu báo cáo của địa phương</w:t>
            </w:r>
          </w:p>
        </w:tc>
        <w:tc>
          <w:tcPr>
            <w:tcW w:w="1461"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Báo cáo</w:t>
            </w:r>
          </w:p>
        </w:tc>
        <w:tc>
          <w:tcPr>
            <w:tcW w:w="3491" w:type="dxa"/>
            <w:gridSpan w:val="5"/>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75</w:t>
            </w:r>
          </w:p>
        </w:tc>
      </w:tr>
      <w:tr w:rsidR="000B57F2" w:rsidRPr="000B57F2" w:rsidTr="003F3DDC">
        <w:trPr>
          <w:trHeight w:val="70"/>
        </w:trPr>
        <w:tc>
          <w:tcPr>
            <w:tcW w:w="609" w:type="dxa"/>
            <w:shd w:val="clear" w:color="auto" w:fill="auto"/>
            <w:vAlign w:val="center"/>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b</w:t>
            </w:r>
          </w:p>
        </w:tc>
        <w:tc>
          <w:tcPr>
            <w:tcW w:w="3795" w:type="dxa"/>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Viết báo cáo</w:t>
            </w:r>
          </w:p>
        </w:tc>
        <w:tc>
          <w:tcPr>
            <w:tcW w:w="1461" w:type="dxa"/>
            <w:shd w:val="clear" w:color="auto" w:fill="auto"/>
            <w:vAlign w:val="center"/>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p>
        </w:tc>
        <w:tc>
          <w:tcPr>
            <w:tcW w:w="3491" w:type="dxa"/>
            <w:gridSpan w:val="5"/>
            <w:shd w:val="clear" w:color="auto" w:fill="auto"/>
            <w:vAlign w:val="center"/>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Báo cáo của địa phương</w:t>
            </w:r>
          </w:p>
        </w:tc>
        <w:tc>
          <w:tcPr>
            <w:tcW w:w="1461" w:type="dxa"/>
            <w:shd w:val="clear" w:color="auto" w:fill="auto"/>
            <w:hideMark/>
          </w:tcPr>
          <w:p w:rsidR="000B57F2" w:rsidRPr="000B57F2" w:rsidRDefault="000B57F2" w:rsidP="000B57F2">
            <w:pPr>
              <w:spacing w:before="60" w:after="60" w:line="240" w:lineRule="auto"/>
              <w:jc w:val="center"/>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Báo cáo</w:t>
            </w:r>
          </w:p>
        </w:tc>
        <w:tc>
          <w:tcPr>
            <w:tcW w:w="1220" w:type="dxa"/>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3.400</w:t>
            </w:r>
          </w:p>
        </w:tc>
        <w:tc>
          <w:tcPr>
            <w:tcW w:w="1207"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2.700</w:t>
            </w:r>
          </w:p>
        </w:tc>
        <w:tc>
          <w:tcPr>
            <w:tcW w:w="1064" w:type="dxa"/>
            <w:gridSpan w:val="2"/>
            <w:shd w:val="clear" w:color="auto" w:fill="auto"/>
            <w:hideMark/>
          </w:tcPr>
          <w:p w:rsidR="000B57F2" w:rsidRPr="000B57F2" w:rsidRDefault="000B57F2" w:rsidP="000B57F2">
            <w:pPr>
              <w:spacing w:before="60" w:after="60" w:line="240" w:lineRule="auto"/>
              <w:jc w:val="right"/>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2.000</w:t>
            </w:r>
          </w:p>
        </w:tc>
      </w:tr>
      <w:tr w:rsidR="000B57F2" w:rsidRPr="000B57F2" w:rsidTr="003F3DDC">
        <w:trPr>
          <w:trHeight w:val="1044"/>
        </w:trPr>
        <w:tc>
          <w:tcPr>
            <w:tcW w:w="609" w:type="dxa"/>
            <w:vMerge w:val="restart"/>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15</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kiểm tra, giám sát, đánh giá theo định kỳ hoặc đột xuất về công tác phổ biến, giáo dục pháp luật, chuẩn tiếp cận pháp luật và hòa giải ở cơ sở</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Thông tư số 06/2007/TT-BTC ngày 26/01/2007 của Bộ Tài chính hướng dẫn lập dự toán, quản lý và sử dụng kinh phí bảo đảm cho công tác kiểm tra việc thực hiện chính sách, chiến lược, quy hoạch, kế hoạch và Nghị quyết số 60/2017/NQ-HĐND ngày 10/12/2017 của HĐND tỉnh quy định mức chi công tác phí, chế độ chi hội nghị trên địa bàn tỉnh Sơn La.</w:t>
            </w:r>
          </w:p>
        </w:tc>
      </w:tr>
      <w:tr w:rsidR="000B57F2" w:rsidRPr="000B57F2" w:rsidTr="003F3DDC">
        <w:trPr>
          <w:trHeight w:val="70"/>
        </w:trPr>
        <w:tc>
          <w:tcPr>
            <w:tcW w:w="609" w:type="dxa"/>
            <w:vMerge/>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Đoàn công tác kiểm tra, giám sát, đánh giá liên ngành, liên cơ quan: Cơ quan, đơn vị chủ trì đoàn công tác chịu trách nhiệm bảo đảm chi phí cho chuyến công tác theo chế độ quy định. Để tránh chi trùng lặp, cơ quan, đơn vị chủ trì đoàn công tác thông báo bằng văn bản (trong giấy mời, triệu tập) cho cơ quan, đơn vị cử người đi công tác không phải thanh toán các khoản chi này.</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16</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Các khoản chi khác có liên quan trực tiếp đến công tác phổ biến, giáo dục pháp luật, chuẩn tiếp cận pháp luật và hòa giải ở cơ sở (nếu có), theo chứng từ chi thực tế hợp pháp được cấp có thẩm quyền phê duyệt trong dự toán ngân sách hàng năm.</w:t>
            </w:r>
          </w:p>
        </w:tc>
      </w:tr>
      <w:tr w:rsidR="000B57F2" w:rsidRPr="000B57F2" w:rsidTr="003F3DDC">
        <w:trPr>
          <w:trHeight w:val="70"/>
        </w:trPr>
        <w:tc>
          <w:tcPr>
            <w:tcW w:w="609" w:type="dxa"/>
            <w:shd w:val="clear" w:color="auto" w:fill="auto"/>
            <w:vAlign w:val="center"/>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17</w:t>
            </w:r>
          </w:p>
        </w:tc>
        <w:tc>
          <w:tcPr>
            <w:tcW w:w="3795" w:type="dxa"/>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Các khoản chi công tác hòa giải ở cơ sở:</w:t>
            </w:r>
          </w:p>
        </w:tc>
        <w:tc>
          <w:tcPr>
            <w:tcW w:w="1461" w:type="dxa"/>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tcPr>
          <w:p w:rsidR="000B57F2" w:rsidRPr="000B57F2" w:rsidRDefault="000B57F2" w:rsidP="000B57F2">
            <w:pPr>
              <w:spacing w:before="60" w:after="60" w:line="240" w:lineRule="auto"/>
              <w:rPr>
                <w:rFonts w:ascii="Times New Roman" w:eastAsia="Times New Roman" w:hAnsi="Times New Roman" w:cs="Times New Roman"/>
                <w:w w:val="80"/>
                <w:sz w:val="26"/>
                <w:szCs w:val="28"/>
                <w:lang w:val="en-US"/>
              </w:rPr>
            </w:pPr>
          </w:p>
        </w:tc>
      </w:tr>
      <w:tr w:rsidR="000B57F2" w:rsidRPr="000B57F2" w:rsidTr="003F3DDC">
        <w:trPr>
          <w:trHeight w:val="70"/>
        </w:trPr>
        <w:tc>
          <w:tcPr>
            <w:tcW w:w="609" w:type="dxa"/>
            <w:shd w:val="clear" w:color="auto" w:fill="auto"/>
            <w:vAlign w:val="center"/>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a</w:t>
            </w:r>
          </w:p>
        </w:tc>
        <w:tc>
          <w:tcPr>
            <w:tcW w:w="3795" w:type="dxa"/>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thù lao cho hòa giải viên (đối với các hòa giải viên trực tiếp tham gia vụ, việc hòa giải)</w:t>
            </w:r>
          </w:p>
        </w:tc>
        <w:tc>
          <w:tcPr>
            <w:tcW w:w="1461" w:type="dxa"/>
            <w:shd w:val="clear" w:color="auto" w:fill="auto"/>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220.000 đồng/vụ,việc.</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p>
        </w:tc>
        <w:tc>
          <w:tcPr>
            <w:tcW w:w="3795"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Trường hợp vụ, việc hòa giải thành theo Điều 24 Luật Hòa giải ở cơ sở</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300.000 đồng/vụ,việc.</w:t>
            </w:r>
          </w:p>
        </w:tc>
      </w:tr>
      <w:tr w:rsidR="000B57F2" w:rsidRPr="000B57F2" w:rsidTr="003F3DDC">
        <w:trPr>
          <w:trHeight w:val="124"/>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lastRenderedPageBreak/>
              <w:t>b</w:t>
            </w:r>
          </w:p>
        </w:tc>
        <w:tc>
          <w:tcPr>
            <w:tcW w:w="8747" w:type="dxa"/>
            <w:gridSpan w:val="7"/>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xml:space="preserve"> Hỗ trợ chi phí y tế cho việc cứu chữa, phục hồi sức khỏe và chức năng bị mất hoặc giảm sút đối với hòa giải viên bị tai nạn trong khi thực hiện hoạt động hòa giải ở cơ sở (bao gồm cả trường hợp hòa giải viên bị tai nạn được cứu chữa, bồi dưỡng, chăm sóc trước khi chết) được thực hiện như sau:</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Đối với người bị tai nạn có tham gia bảo hiểm y tế</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Thực hiện theo quy định của pháp luật về bảo hiểm y tế</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Đối với người bị tai nạn không tham gia bảo hiểm y tế</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Thực hiện theo quy định tại điểm đ, khoản 1 Điều 22 của Luật bảo hiểm y tế (được sửa đổi, bổ sung năm 2014)</w:t>
            </w:r>
          </w:p>
        </w:tc>
      </w:tr>
      <w:tr w:rsidR="000B57F2" w:rsidRPr="000B57F2" w:rsidTr="003F3DDC">
        <w:trPr>
          <w:trHeight w:val="1169"/>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c</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Hỗ trợ thu nhập thực tế bị mất hoặc bị giảm sút đối với hòa giải viên bị tai nạn trong thời gian cứu chữa, phục hồi sức khỏe và chức năng bị mất hoặc giảm sút</w:t>
            </w:r>
          </w:p>
        </w:tc>
        <w:tc>
          <w:tcPr>
            <w:tcW w:w="1461"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spacing w:val="-4"/>
                <w:w w:val="80"/>
                <w:sz w:val="26"/>
                <w:szCs w:val="28"/>
                <w:lang w:val="en-US"/>
              </w:rPr>
            </w:pPr>
            <w:r w:rsidRPr="000B57F2">
              <w:rPr>
                <w:rFonts w:ascii="Times New Roman" w:eastAsia="Times New Roman" w:hAnsi="Times New Roman" w:cs="Times New Roman"/>
                <w:spacing w:val="-4"/>
                <w:w w:val="80"/>
                <w:sz w:val="26"/>
                <w:szCs w:val="28"/>
                <w:lang w:val="en-US"/>
              </w:rPr>
              <w:t>Thực hiện theo quy định tại Điều 4, Thông tư liên tịch số 02/2013/TTLT-BNV-BLĐTBXH-BYT ngày 09/7/2013 của Bộ trưởng Bộ Nội vụ, Bộ trưởng Bộ Lao động, Thương binh và Xã hội, Bộ trưởng Bộ Tài chính, Bộ trưởng Bộ Y tế hướng dẫn quy trình, thủ tục, hồ sơ, mức hỗ trợ người đang trực tiếp tham gia hoạt động chữ thập đỏ bị tai nạn dẫn đến thiệt hại về sức khỏe.</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d</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Hỗ trợ chi phí mai táng cho người tổ chức mai táng hòa giải viên gặp tai nạn hoặc rủi ro bị thiệt hại về tính mạng trong khi thực hiện hoạt động hòa giải ở cơ sở</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05 tháng lương cơ sở</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đ</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spacing w:val="-6"/>
                <w:w w:val="80"/>
                <w:sz w:val="26"/>
                <w:szCs w:val="28"/>
                <w:lang w:val="en-US"/>
              </w:rPr>
            </w:pPr>
            <w:r w:rsidRPr="000B57F2">
              <w:rPr>
                <w:rFonts w:ascii="Times New Roman" w:eastAsia="Times New Roman" w:hAnsi="Times New Roman" w:cs="Times New Roman"/>
                <w:spacing w:val="-6"/>
                <w:w w:val="80"/>
                <w:sz w:val="26"/>
                <w:szCs w:val="28"/>
                <w:lang w:val="en-US"/>
              </w:rPr>
              <w:t>Chi hỗ trợ hoạt động của tổ hòa giải (chi mua văn phòng phẩm, sao chụp tài liệu, nước uống phục vụ các cuộc họp của tổ hòa giải)</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110.000 đồng/tổ hòa giải/tháng</w:t>
            </w:r>
          </w:p>
        </w:tc>
      </w:tr>
      <w:tr w:rsidR="000B57F2" w:rsidRPr="000B57F2" w:rsidTr="003F3DDC">
        <w:trPr>
          <w:trHeight w:val="70"/>
        </w:trPr>
        <w:tc>
          <w:tcPr>
            <w:tcW w:w="609" w:type="dxa"/>
            <w:shd w:val="clear" w:color="auto" w:fill="auto"/>
            <w:vAlign w:val="center"/>
            <w:hideMark/>
          </w:tcPr>
          <w:p w:rsidR="000B57F2" w:rsidRPr="000B57F2" w:rsidRDefault="000B57F2" w:rsidP="000B57F2">
            <w:pPr>
              <w:spacing w:before="60" w:after="60" w:line="240" w:lineRule="auto"/>
              <w:jc w:val="center"/>
              <w:rPr>
                <w:rFonts w:ascii="Times New Roman" w:eastAsia="Times New Roman" w:hAnsi="Times New Roman" w:cs="Times New Roman"/>
                <w:bCs/>
                <w:w w:val="80"/>
                <w:sz w:val="26"/>
                <w:szCs w:val="28"/>
                <w:lang w:val="en-US"/>
              </w:rPr>
            </w:pPr>
            <w:r w:rsidRPr="000B57F2">
              <w:rPr>
                <w:rFonts w:ascii="Times New Roman" w:eastAsia="Times New Roman" w:hAnsi="Times New Roman" w:cs="Times New Roman"/>
                <w:bCs/>
                <w:w w:val="80"/>
                <w:sz w:val="26"/>
                <w:szCs w:val="28"/>
                <w:lang w:val="en-US"/>
              </w:rPr>
              <w:t>18</w:t>
            </w:r>
          </w:p>
        </w:tc>
        <w:tc>
          <w:tcPr>
            <w:tcW w:w="3795" w:type="dxa"/>
            <w:shd w:val="clear" w:color="auto" w:fill="auto"/>
            <w:vAlign w:val="center"/>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Chi kiểm tra, xử lý, rà soát hệ thống hóa văn bản quy phạm pháp luật trong lĩnh vực phổ biến, giáo dục pháp luật, chuẩn tiếp cận pháp luật và hòa giải ở cơ sở</w:t>
            </w:r>
          </w:p>
        </w:tc>
        <w:tc>
          <w:tcPr>
            <w:tcW w:w="1461" w:type="dxa"/>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 </w:t>
            </w:r>
          </w:p>
        </w:tc>
        <w:tc>
          <w:tcPr>
            <w:tcW w:w="3491" w:type="dxa"/>
            <w:gridSpan w:val="5"/>
            <w:shd w:val="clear" w:color="auto" w:fill="auto"/>
            <w:hideMark/>
          </w:tcPr>
          <w:p w:rsidR="000B57F2" w:rsidRPr="000B57F2" w:rsidRDefault="000B57F2" w:rsidP="000B57F2">
            <w:pPr>
              <w:spacing w:before="60" w:after="60" w:line="240" w:lineRule="auto"/>
              <w:jc w:val="both"/>
              <w:rPr>
                <w:rFonts w:ascii="Times New Roman" w:eastAsia="Times New Roman" w:hAnsi="Times New Roman" w:cs="Times New Roman"/>
                <w:w w:val="80"/>
                <w:sz w:val="26"/>
                <w:szCs w:val="28"/>
                <w:lang w:val="en-US"/>
              </w:rPr>
            </w:pPr>
            <w:r w:rsidRPr="000B57F2">
              <w:rPr>
                <w:rFonts w:ascii="Times New Roman" w:eastAsia="Times New Roman" w:hAnsi="Times New Roman" w:cs="Times New Roman"/>
                <w:w w:val="80"/>
                <w:sz w:val="26"/>
                <w:szCs w:val="28"/>
                <w:lang w:val="en-US"/>
              </w:rPr>
              <w:t>Nội dung và mức chi thực hiện theo quy định tại Nghị quyết số 62/2023/NQ-HĐND ngày 20/7/2023 của HĐND tỉnh Quy định mức chi bảo đảm cho công tác kiểm tra, xử lý, rà soát, hệ thống hóa văn bản quy phạm pháp luật trên địa bàn tỉnh Sơn La.</w:t>
            </w:r>
          </w:p>
        </w:tc>
      </w:tr>
    </w:tbl>
    <w:p w:rsidR="000B57F2" w:rsidRPr="000B57F2" w:rsidRDefault="000B57F2" w:rsidP="000B57F2">
      <w:pPr>
        <w:spacing w:before="120" w:after="0" w:line="240" w:lineRule="auto"/>
        <w:ind w:firstLine="720"/>
        <w:jc w:val="both"/>
        <w:rPr>
          <w:rFonts w:ascii="Times New Roman" w:eastAsia="Calibri" w:hAnsi="Times New Roman" w:cs="Times New Roman"/>
          <w:sz w:val="28"/>
          <w:lang w:val="en-US"/>
        </w:rPr>
      </w:pPr>
    </w:p>
    <w:p w:rsidR="000B57F2" w:rsidRPr="000B57F2" w:rsidRDefault="000B57F2" w:rsidP="000B57F2">
      <w:pPr>
        <w:spacing w:before="120" w:after="0" w:line="240" w:lineRule="auto"/>
        <w:ind w:firstLine="720"/>
        <w:jc w:val="both"/>
        <w:rPr>
          <w:rFonts w:ascii="Times New Roman" w:eastAsia="Calibri" w:hAnsi="Times New Roman" w:cs="Times New Roman"/>
          <w:sz w:val="28"/>
          <w:lang w:val="pt-BR"/>
        </w:rPr>
      </w:pPr>
    </w:p>
    <w:p w:rsidR="000B57F2" w:rsidRPr="000B57F2" w:rsidRDefault="000B57F2" w:rsidP="000B57F2">
      <w:pPr>
        <w:spacing w:before="120" w:after="0" w:line="240" w:lineRule="auto"/>
        <w:ind w:firstLine="720"/>
        <w:jc w:val="both"/>
        <w:rPr>
          <w:rFonts w:ascii="Times New Roman" w:eastAsia="Calibri" w:hAnsi="Times New Roman" w:cs="Times New Roman"/>
          <w:sz w:val="28"/>
          <w:lang w:val="pt-BR"/>
        </w:rPr>
      </w:pPr>
    </w:p>
    <w:p w:rsidR="000B57F2" w:rsidRPr="000B57F2" w:rsidRDefault="000B57F2" w:rsidP="000B57F2">
      <w:pPr>
        <w:autoSpaceDE w:val="0"/>
        <w:autoSpaceDN w:val="0"/>
        <w:adjustRightInd w:val="0"/>
        <w:spacing w:before="60" w:after="60" w:line="240" w:lineRule="auto"/>
        <w:jc w:val="both"/>
        <w:rPr>
          <w:rFonts w:ascii="Times New Roman" w:eastAsia="Times New Roman" w:hAnsi="Times New Roman" w:cs="Times New Roman"/>
          <w:sz w:val="28"/>
          <w:szCs w:val="28"/>
          <w:lang w:val="pt-BR"/>
        </w:rPr>
      </w:pPr>
    </w:p>
    <w:p w:rsidR="009646F8" w:rsidRPr="000B57F2" w:rsidRDefault="00426FA6">
      <w:pPr>
        <w:rPr>
          <w:lang w:val="pt-BR"/>
        </w:rPr>
      </w:pPr>
    </w:p>
    <w:sectPr w:rsidR="009646F8" w:rsidRPr="000B57F2" w:rsidSect="008D49A6">
      <w:headerReference w:type="even" r:id="rId7"/>
      <w:footerReference w:type="even" r:id="rId8"/>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FA6" w:rsidRDefault="00426FA6">
      <w:pPr>
        <w:spacing w:after="0" w:line="240" w:lineRule="auto"/>
      </w:pPr>
      <w:r>
        <w:separator/>
      </w:r>
    </w:p>
  </w:endnote>
  <w:endnote w:type="continuationSeparator" w:id="0">
    <w:p w:rsidR="00426FA6" w:rsidRDefault="00426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B74" w:rsidRDefault="000B57F2" w:rsidP="00625B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0B74" w:rsidRDefault="00426F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FA6" w:rsidRDefault="00426FA6">
      <w:pPr>
        <w:spacing w:after="0" w:line="240" w:lineRule="auto"/>
      </w:pPr>
      <w:r>
        <w:separator/>
      </w:r>
    </w:p>
  </w:footnote>
  <w:footnote w:type="continuationSeparator" w:id="0">
    <w:p w:rsidR="00426FA6" w:rsidRDefault="00426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B74" w:rsidRDefault="000B57F2" w:rsidP="004340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0B74" w:rsidRDefault="00426F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7F2"/>
    <w:rsid w:val="000338B9"/>
    <w:rsid w:val="0006156E"/>
    <w:rsid w:val="000B57F2"/>
    <w:rsid w:val="000D5D22"/>
    <w:rsid w:val="000F190E"/>
    <w:rsid w:val="00164259"/>
    <w:rsid w:val="00197F97"/>
    <w:rsid w:val="00360609"/>
    <w:rsid w:val="003C7716"/>
    <w:rsid w:val="00426FA6"/>
    <w:rsid w:val="00484468"/>
    <w:rsid w:val="00500DF6"/>
    <w:rsid w:val="005E6A58"/>
    <w:rsid w:val="0098759F"/>
    <w:rsid w:val="00A15689"/>
    <w:rsid w:val="00A5528F"/>
    <w:rsid w:val="00AC5A6A"/>
    <w:rsid w:val="00AF6C28"/>
    <w:rsid w:val="00D473FD"/>
    <w:rsid w:val="00D74628"/>
    <w:rsid w:val="00DF6A61"/>
    <w:rsid w:val="00EB0FDA"/>
    <w:rsid w:val="00F24769"/>
    <w:rsid w:val="00F31AC7"/>
    <w:rsid w:val="00FA319D"/>
    <w:rsid w:val="00FE1DD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B57F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B57F2"/>
  </w:style>
  <w:style w:type="paragraph" w:styleId="Header">
    <w:name w:val="header"/>
    <w:basedOn w:val="Normal"/>
    <w:link w:val="HeaderChar"/>
    <w:uiPriority w:val="99"/>
    <w:semiHidden/>
    <w:unhideWhenUsed/>
    <w:rsid w:val="000B57F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B57F2"/>
  </w:style>
  <w:style w:type="character" w:styleId="PageNumber">
    <w:name w:val="page number"/>
    <w:basedOn w:val="DefaultParagraphFont"/>
    <w:rsid w:val="000B57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B57F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B57F2"/>
  </w:style>
  <w:style w:type="paragraph" w:styleId="Header">
    <w:name w:val="header"/>
    <w:basedOn w:val="Normal"/>
    <w:link w:val="HeaderChar"/>
    <w:uiPriority w:val="99"/>
    <w:semiHidden/>
    <w:unhideWhenUsed/>
    <w:rsid w:val="000B57F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B57F2"/>
  </w:style>
  <w:style w:type="character" w:styleId="PageNumber">
    <w:name w:val="page number"/>
    <w:basedOn w:val="DefaultParagraphFont"/>
    <w:rsid w:val="000B5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3600</Words>
  <Characters>20520</Characters>
  <Application>Microsoft Office Word</Application>
  <DocSecurity>0</DocSecurity>
  <Lines>171</Lines>
  <Paragraphs>48</Paragraphs>
  <ScaleCrop>false</ScaleCrop>
  <Company/>
  <LinksUpToDate>false</LinksUpToDate>
  <CharactersWithSpaces>24072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2023-12-20T01:08:00Z</dcterms:created>
  <dcterms:modified xsi:type="dcterms:W3CDTF">2023-12-20T01:10:00Z</dcterms:modified>
</cp:coreProperties>
</file>