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Layout w:type="fixed"/>
        <w:tblLook w:val="0000" w:firstRow="0" w:lastRow="0" w:firstColumn="0" w:lastColumn="0" w:noHBand="0" w:noVBand="0"/>
      </w:tblPr>
      <w:tblGrid>
        <w:gridCol w:w="3261"/>
        <w:gridCol w:w="6237"/>
      </w:tblGrid>
      <w:tr w:rsidR="005178BE" w:rsidRPr="005178BE" w14:paraId="432B521D" w14:textId="77777777" w:rsidTr="00997270">
        <w:tc>
          <w:tcPr>
            <w:tcW w:w="3261" w:type="dxa"/>
          </w:tcPr>
          <w:p w14:paraId="53FB3A09" w14:textId="77777777" w:rsidR="005178BE" w:rsidRPr="005178BE" w:rsidRDefault="005178BE" w:rsidP="005178BE">
            <w:pPr>
              <w:keepNext/>
              <w:tabs>
                <w:tab w:val="left" w:pos="720"/>
                <w:tab w:val="left" w:pos="851"/>
              </w:tabs>
              <w:spacing w:after="0" w:line="240" w:lineRule="auto"/>
              <w:jc w:val="center"/>
              <w:outlineLvl w:val="0"/>
              <w:rPr>
                <w:rFonts w:asciiTheme="majorHAnsi" w:eastAsia="Times New Roman" w:hAnsiTheme="majorHAnsi" w:cstheme="majorHAnsi"/>
                <w:b/>
                <w:color w:val="000000"/>
                <w:kern w:val="0"/>
                <w:szCs w:val="28"/>
                <w:lang w:val="en-US"/>
                <w14:ligatures w14:val="none"/>
              </w:rPr>
            </w:pPr>
            <w:r w:rsidRPr="005178BE">
              <w:rPr>
                <w:rFonts w:asciiTheme="majorHAnsi" w:eastAsia="Times New Roman" w:hAnsiTheme="majorHAnsi" w:cstheme="majorHAnsi"/>
                <w:b/>
                <w:color w:val="000000"/>
                <w:kern w:val="0"/>
                <w:szCs w:val="28"/>
                <w:lang w:val="en-US"/>
                <w14:ligatures w14:val="none"/>
              </w:rPr>
              <w:t>UỶ BAN NHÂN DÂN</w:t>
            </w:r>
          </w:p>
          <w:p w14:paraId="67EE4A6D" w14:textId="77777777" w:rsidR="005178BE" w:rsidRPr="005178BE" w:rsidRDefault="005178BE" w:rsidP="005178BE">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b/>
                <w:color w:val="000000"/>
                <w:kern w:val="0"/>
                <w:szCs w:val="28"/>
                <w:lang w:val="en-US"/>
                <w14:ligatures w14:val="none"/>
              </w:rPr>
              <w:t>TỈNH SƠN LA</w:t>
            </w:r>
          </w:p>
          <w:p w14:paraId="3BAA2BAA" w14:textId="77777777" w:rsidR="005178BE" w:rsidRPr="005178BE" w:rsidRDefault="005178BE" w:rsidP="005178BE">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noProof/>
                <w:color w:val="000000"/>
                <w:kern w:val="0"/>
                <w:szCs w:val="28"/>
                <w:lang w:eastAsia="vi-VN"/>
                <w14:ligatures w14:val="none"/>
              </w:rPr>
              <mc:AlternateContent>
                <mc:Choice Requires="wps">
                  <w:drawing>
                    <wp:anchor distT="0" distB="0" distL="114300" distR="114300" simplePos="0" relativeHeight="251659264" behindDoc="0" locked="0" layoutInCell="1" allowOverlap="1" wp14:anchorId="6FFA0091" wp14:editId="64F4B94D">
                      <wp:simplePos x="0" y="0"/>
                      <wp:positionH relativeFrom="column">
                        <wp:posOffset>659765</wp:posOffset>
                      </wp:positionH>
                      <wp:positionV relativeFrom="paragraph">
                        <wp:posOffset>27305</wp:posOffset>
                      </wp:positionV>
                      <wp:extent cx="598805" cy="0"/>
                      <wp:effectExtent l="9525" t="10160" r="10795" b="8890"/>
                      <wp:wrapNone/>
                      <wp:docPr id="194148877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4527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2.15pt" to="9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gEAAEcDAAAOAAAAZHJzL2Uyb0RvYy54bWysUsFuGyEQvVfqPyDu9a4tuXJWXufgNL2k&#10;raUkHzAG1ovKMmgGe9d/XyC2G7W3qhwQw8w83nvM+n4anDgZYou+lfNZLYXxCrX1h1a+vjx+WknB&#10;EbwGh9608mxY3m8+fliPoTEL7NFpQyKBeG7G0Mo+xtBUFaveDMAzDManZIc0QEwhHSpNMCb0wVWL&#10;uv5cjUg6ECrDnG4f3pJyU/C7zqj4o+vYROFambjFslPZ93mvNmtoDgSht+pCA/6BxQDWp0dvUA8Q&#10;QRzJ/gU1WEXI2MWZwqHCrrPKFA1Jzbz+Q81zD8EULckcDjeb+P/Bqu+nrd9Rpq4m/xyeUP1k4XHb&#10;gz+YQuDlHNLHzbNV1Ri4ubXkgMOOxH78hjrVwDFicWHqaMiQSZ+Yitnnm9lmikKly+XdalUvpVDX&#10;VAXNtS8Qx68GB5EPrXTWZxuggdMTx8wDmmtJvvb4aJ0rX+m8GFt5t1wsSwOjszoncxnTYb91JE6Q&#10;h6GsIipl3pcRHr0uYL0B/eVyjmDd2zk97vzFiyw/zxo3e9TnHV09Sr9VWF4mK4/D+7h0/57/zS8A&#10;AAD//wMAUEsDBBQABgAIAAAAIQDnnZrq2gAAAAcBAAAPAAAAZHJzL2Rvd25yZXYueG1sTI7BTsMw&#10;EETvSP0Ha5G4VNQmqVAb4lQVkBsXCojrNl6SiHidxm4b+HrcXsrxaUYzL1+NthMHGnzrWMPdTIEg&#10;rpxpudbw/lbeLkD4gGywc0wafsjDqphc5ZgZd+RXOmxCLeII+ww1NCH0mZS+asiin7meOGZfbrAY&#10;Ig61NAMe47jtZKLUvbTYcnxosKfHhqrvzd5q8OUH7crfaTVVn2ntKNk9vTyj1jfX4/oBRKAxXMpw&#10;0o/qUESnrduz8aKLrNJlrGqYpyBO+XKRgNieWRa5/O9f/AEAAP//AwBQSwECLQAUAAYACAAAACEA&#10;toM4kv4AAADhAQAAEwAAAAAAAAAAAAAAAAAAAAAAW0NvbnRlbnRfVHlwZXNdLnhtbFBLAQItABQA&#10;BgAIAAAAIQA4/SH/1gAAAJQBAAALAAAAAAAAAAAAAAAAAC8BAABfcmVscy8ucmVsc1BLAQItABQA&#10;BgAIAAAAIQD++ET+rgEAAEcDAAAOAAAAAAAAAAAAAAAAAC4CAABkcnMvZTJvRG9jLnhtbFBLAQIt&#10;ABQABgAIAAAAIQDnnZrq2gAAAAcBAAAPAAAAAAAAAAAAAAAAAAgEAABkcnMvZG93bnJldi54bWxQ&#10;SwUGAAAAAAQABADzAAAADwUAAAAA&#10;"/>
                  </w:pict>
                </mc:Fallback>
              </mc:AlternateContent>
            </w:r>
          </w:p>
          <w:p w14:paraId="0A59DA19" w14:textId="375BA405" w:rsidR="005178BE" w:rsidRPr="005178BE" w:rsidRDefault="005178BE" w:rsidP="005178BE">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color w:val="000000"/>
                <w:kern w:val="0"/>
                <w:szCs w:val="28"/>
                <w:lang w:val="en-US"/>
                <w14:ligatures w14:val="none"/>
              </w:rPr>
              <w:t>Số: 1</w:t>
            </w:r>
            <w:r>
              <w:rPr>
                <w:rFonts w:asciiTheme="majorHAnsi" w:eastAsia="Times New Roman" w:hAnsiTheme="majorHAnsi" w:cstheme="majorHAnsi"/>
                <w:color w:val="000000"/>
                <w:kern w:val="0"/>
                <w:szCs w:val="28"/>
                <w:lang w:val="en-US"/>
                <w14:ligatures w14:val="none"/>
              </w:rPr>
              <w:t>6</w:t>
            </w:r>
            <w:r w:rsidRPr="005178BE">
              <w:rPr>
                <w:rFonts w:asciiTheme="majorHAnsi" w:eastAsia="Times New Roman" w:hAnsiTheme="majorHAnsi" w:cstheme="majorHAnsi"/>
                <w:color w:val="000000"/>
                <w:kern w:val="0"/>
                <w:szCs w:val="28"/>
                <w:lang w:val="en-US"/>
                <w14:ligatures w14:val="none"/>
              </w:rPr>
              <w:t>5</w:t>
            </w:r>
            <w:r>
              <w:rPr>
                <w:rFonts w:asciiTheme="majorHAnsi" w:eastAsia="Times New Roman" w:hAnsiTheme="majorHAnsi" w:cstheme="majorHAnsi"/>
                <w:color w:val="000000"/>
                <w:kern w:val="0"/>
                <w:szCs w:val="28"/>
                <w:lang w:val="en-US"/>
                <w14:ligatures w14:val="none"/>
              </w:rPr>
              <w:t>3</w:t>
            </w:r>
            <w:r w:rsidRPr="005178BE">
              <w:rPr>
                <w:rFonts w:asciiTheme="majorHAnsi" w:eastAsia="Times New Roman" w:hAnsiTheme="majorHAnsi" w:cstheme="majorHAnsi"/>
                <w:color w:val="000000"/>
                <w:kern w:val="0"/>
                <w:szCs w:val="28"/>
                <w:lang w:val="en-US"/>
                <w14:ligatures w14:val="none"/>
              </w:rPr>
              <w:t>/QĐ-UBND</w:t>
            </w:r>
          </w:p>
        </w:tc>
        <w:tc>
          <w:tcPr>
            <w:tcW w:w="6237" w:type="dxa"/>
          </w:tcPr>
          <w:p w14:paraId="3410B38B" w14:textId="77777777" w:rsidR="005178BE" w:rsidRPr="005178BE" w:rsidRDefault="005178BE" w:rsidP="005178BE">
            <w:pPr>
              <w:keepNext/>
              <w:tabs>
                <w:tab w:val="left" w:pos="720"/>
                <w:tab w:val="left" w:pos="851"/>
              </w:tabs>
              <w:spacing w:after="0" w:line="240" w:lineRule="auto"/>
              <w:jc w:val="center"/>
              <w:outlineLvl w:val="3"/>
              <w:rPr>
                <w:rFonts w:asciiTheme="majorHAnsi" w:eastAsia="Times New Roman" w:hAnsiTheme="majorHAnsi" w:cstheme="majorHAnsi"/>
                <w:b/>
                <w:color w:val="000000"/>
                <w:kern w:val="0"/>
                <w:sz w:val="26"/>
                <w:szCs w:val="28"/>
                <w:lang w:val="en-US"/>
                <w14:ligatures w14:val="none"/>
              </w:rPr>
            </w:pPr>
            <w:r w:rsidRPr="005178BE">
              <w:rPr>
                <w:rFonts w:asciiTheme="majorHAnsi" w:eastAsia="Times New Roman" w:hAnsiTheme="majorHAnsi" w:cstheme="majorHAnsi"/>
                <w:b/>
                <w:color w:val="000000"/>
                <w:kern w:val="0"/>
                <w:sz w:val="26"/>
                <w:szCs w:val="28"/>
                <w:lang w:val="en-US"/>
                <w14:ligatures w14:val="none"/>
              </w:rPr>
              <w:t>CỘNG HOÀ XÃ HỘI CHỦ NGHĨA VIỆT NAM</w:t>
            </w:r>
          </w:p>
          <w:p w14:paraId="7FC4B9C1" w14:textId="77777777" w:rsidR="005178BE" w:rsidRPr="005178BE" w:rsidRDefault="005178BE" w:rsidP="005178BE">
            <w:pPr>
              <w:tabs>
                <w:tab w:val="left" w:pos="720"/>
                <w:tab w:val="left" w:pos="851"/>
              </w:tabs>
              <w:spacing w:after="0" w:line="240" w:lineRule="auto"/>
              <w:jc w:val="center"/>
              <w:rPr>
                <w:rFonts w:asciiTheme="majorHAnsi" w:eastAsia="Times New Roman" w:hAnsiTheme="majorHAnsi" w:cstheme="majorHAnsi"/>
                <w:b/>
                <w:color w:val="000000"/>
                <w:kern w:val="0"/>
                <w:szCs w:val="28"/>
                <w:lang w:val="en-US"/>
                <w14:ligatures w14:val="none"/>
              </w:rPr>
            </w:pPr>
            <w:r w:rsidRPr="005178BE">
              <w:rPr>
                <w:rFonts w:asciiTheme="majorHAnsi" w:eastAsia="Times New Roman" w:hAnsiTheme="majorHAnsi" w:cstheme="majorHAnsi"/>
                <w:b/>
                <w:color w:val="000000"/>
                <w:kern w:val="0"/>
                <w:szCs w:val="28"/>
                <w:lang w:val="en-US"/>
                <w14:ligatures w14:val="none"/>
              </w:rPr>
              <w:t>Độc lập - Tự do - Hạnh phúc</w:t>
            </w:r>
          </w:p>
          <w:p w14:paraId="39170E49" w14:textId="77777777" w:rsidR="005178BE" w:rsidRPr="005178BE" w:rsidRDefault="005178BE" w:rsidP="005178BE">
            <w:pPr>
              <w:tabs>
                <w:tab w:val="left" w:pos="720"/>
                <w:tab w:val="left" w:pos="851"/>
              </w:tabs>
              <w:spacing w:after="0" w:line="240" w:lineRule="auto"/>
              <w:jc w:val="center"/>
              <w:rPr>
                <w:rFonts w:asciiTheme="majorHAnsi" w:eastAsia="Times New Roman" w:hAnsiTheme="majorHAnsi" w:cstheme="majorHAnsi"/>
                <w:color w:val="000000"/>
                <w:kern w:val="0"/>
                <w:szCs w:val="28"/>
                <w:lang w:val="en-US"/>
                <w14:ligatures w14:val="none"/>
              </w:rPr>
            </w:pPr>
            <w:r w:rsidRPr="005178BE">
              <w:rPr>
                <w:rFonts w:asciiTheme="majorHAnsi" w:eastAsia="Times New Roman" w:hAnsiTheme="majorHAnsi" w:cstheme="majorHAnsi"/>
                <w:noProof/>
                <w:color w:val="000000"/>
                <w:kern w:val="0"/>
                <w:szCs w:val="28"/>
                <w:lang w:val="en-US"/>
                <w14:ligatures w14:val="none"/>
              </w:rPr>
              <mc:AlternateContent>
                <mc:Choice Requires="wps">
                  <w:drawing>
                    <wp:anchor distT="0" distB="0" distL="114300" distR="114300" simplePos="0" relativeHeight="251660288" behindDoc="0" locked="0" layoutInCell="1" allowOverlap="1" wp14:anchorId="1B75BE47" wp14:editId="0F117493">
                      <wp:simplePos x="0" y="0"/>
                      <wp:positionH relativeFrom="column">
                        <wp:posOffset>836295</wp:posOffset>
                      </wp:positionH>
                      <wp:positionV relativeFrom="paragraph">
                        <wp:posOffset>26670</wp:posOffset>
                      </wp:positionV>
                      <wp:extent cx="2137410" cy="0"/>
                      <wp:effectExtent l="8890" t="13970" r="6350" b="5080"/>
                      <wp:wrapNone/>
                      <wp:docPr id="179030435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43AA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1pt" to="234.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K+Lh6HaAAAABwEAAA8AAABkcnMvZG93bnJldi54bWxMjsFO&#10;wzAQRO9I/IO1SFwq6jSpShXiVAjIjQsFxHUbL0lEvE5jtw18PQsXOD7NaOYVm8n16khj6DwbWMwT&#10;UMS1tx03Bl6eq6s1qBCRLfaeycAnBdiU52cF5taf+ImO29goGeGQo4E2xiHXOtQtOQxzPxBL9u5H&#10;h1FwbLQd8STjrtdpkqy0w47locWB7lqqP7YHZyBUr7Svvmb1LHnLGk/p/v7xAY25vJhub0BFmuJf&#10;GX70RR1Kcdr5A9ugeuFscS1VA8sUlOTL1ToDtftlXRb6v3/5DQAA//8DAFBLAQItABQABgAIAAAA&#10;IQC2gziS/gAAAOEBAAATAAAAAAAAAAAAAAAAAAAAAABbQ29udGVudF9UeXBlc10ueG1sUEsBAi0A&#10;FAAGAAgAAAAhADj9If/WAAAAlAEAAAsAAAAAAAAAAAAAAAAALwEAAF9yZWxzLy5yZWxzUEsBAi0A&#10;FAAGAAgAAAAhAIsNhrmwAQAASAMAAA4AAAAAAAAAAAAAAAAALgIAAGRycy9lMm9Eb2MueG1sUEsB&#10;Ai0AFAAGAAgAAAAhAK+Lh6HaAAAABwEAAA8AAAAAAAAAAAAAAAAACgQAAGRycy9kb3ducmV2Lnht&#10;bFBLBQYAAAAABAAEAPMAAAARBQAAAAA=&#10;"/>
                  </w:pict>
                </mc:Fallback>
              </mc:AlternateContent>
            </w:r>
          </w:p>
          <w:p w14:paraId="448BD305" w14:textId="3BB63F38" w:rsidR="005178BE" w:rsidRPr="005178BE" w:rsidRDefault="005178BE" w:rsidP="005178BE">
            <w:pPr>
              <w:keepNext/>
              <w:tabs>
                <w:tab w:val="left" w:pos="720"/>
                <w:tab w:val="left" w:pos="851"/>
              </w:tabs>
              <w:spacing w:after="0" w:line="240" w:lineRule="auto"/>
              <w:jc w:val="center"/>
              <w:outlineLvl w:val="4"/>
              <w:rPr>
                <w:rFonts w:asciiTheme="majorHAnsi" w:eastAsia="Times New Roman" w:hAnsiTheme="majorHAnsi" w:cstheme="majorHAnsi"/>
                <w:i/>
                <w:color w:val="000000"/>
                <w:kern w:val="0"/>
                <w:szCs w:val="28"/>
                <w:lang w:val="fr-FR"/>
                <w14:ligatures w14:val="none"/>
              </w:rPr>
            </w:pPr>
            <w:r w:rsidRPr="005178BE">
              <w:rPr>
                <w:rFonts w:asciiTheme="majorHAnsi" w:eastAsia="Times New Roman" w:hAnsiTheme="majorHAnsi" w:cstheme="majorHAnsi"/>
                <w:i/>
                <w:color w:val="000000"/>
                <w:kern w:val="0"/>
                <w:szCs w:val="28"/>
                <w:lang w:val="fr-FR"/>
                <w14:ligatures w14:val="none"/>
              </w:rPr>
              <w:t xml:space="preserve">Sơn La, ngày </w:t>
            </w:r>
            <w:r>
              <w:rPr>
                <w:rFonts w:asciiTheme="majorHAnsi" w:eastAsia="Times New Roman" w:hAnsiTheme="majorHAnsi" w:cstheme="majorHAnsi"/>
                <w:i/>
                <w:color w:val="000000"/>
                <w:kern w:val="0"/>
                <w:szCs w:val="28"/>
                <w:lang w:val="fr-FR"/>
                <w14:ligatures w14:val="none"/>
              </w:rPr>
              <w:t>30</w:t>
            </w:r>
            <w:r w:rsidRPr="005178BE">
              <w:rPr>
                <w:rFonts w:asciiTheme="majorHAnsi" w:eastAsia="Times New Roman" w:hAnsiTheme="majorHAnsi" w:cstheme="majorHAnsi"/>
                <w:i/>
                <w:color w:val="000000"/>
                <w:kern w:val="0"/>
                <w:szCs w:val="28"/>
                <w:lang w:val="fr-FR"/>
                <w14:ligatures w14:val="none"/>
              </w:rPr>
              <w:t xml:space="preserve"> tháng 6 năm 2025</w:t>
            </w:r>
          </w:p>
        </w:tc>
      </w:tr>
    </w:tbl>
    <w:p w14:paraId="691AEFC5" w14:textId="77777777" w:rsidR="004308BD" w:rsidRDefault="004308BD"/>
    <w:p w14:paraId="0D603397" w14:textId="3ED2A096" w:rsidR="006A3F90" w:rsidRPr="006A3F90" w:rsidRDefault="006A3F90" w:rsidP="006A3F90">
      <w:pPr>
        <w:tabs>
          <w:tab w:val="left" w:pos="2610"/>
        </w:tabs>
        <w:spacing w:before="40" w:after="0" w:line="240" w:lineRule="auto"/>
        <w:jc w:val="center"/>
        <w:rPr>
          <w:b/>
          <w:bCs/>
        </w:rPr>
      </w:pPr>
      <w:r w:rsidRPr="006A3F90">
        <w:rPr>
          <w:b/>
          <w:bCs/>
        </w:rPr>
        <w:t>QUYẾT ĐỊNH</w:t>
      </w:r>
    </w:p>
    <w:p w14:paraId="69EFD2DF" w14:textId="77777777" w:rsidR="006A3F90" w:rsidRDefault="006A3F90" w:rsidP="006A3F90">
      <w:pPr>
        <w:tabs>
          <w:tab w:val="left" w:pos="2610"/>
        </w:tabs>
        <w:spacing w:before="40" w:after="0" w:line="240" w:lineRule="auto"/>
        <w:jc w:val="center"/>
        <w:rPr>
          <w:b/>
          <w:bCs/>
        </w:rPr>
      </w:pPr>
      <w:r w:rsidRPr="006A3F90">
        <w:rPr>
          <w:b/>
          <w:bCs/>
        </w:rPr>
        <w:t xml:space="preserve">Về việc tổ chức lại Trung tâm Khuyến nông thành Trung tâm Kỹ thuật </w:t>
      </w:r>
    </w:p>
    <w:p w14:paraId="47B3F5F4" w14:textId="77777777" w:rsidR="006A3F90" w:rsidRDefault="006A3F90" w:rsidP="006A3F90">
      <w:pPr>
        <w:tabs>
          <w:tab w:val="left" w:pos="2610"/>
        </w:tabs>
        <w:spacing w:before="40" w:after="0" w:line="240" w:lineRule="auto"/>
        <w:jc w:val="center"/>
        <w:rPr>
          <w:b/>
          <w:bCs/>
        </w:rPr>
      </w:pPr>
      <w:r w:rsidRPr="006A3F90">
        <w:rPr>
          <w:b/>
          <w:bCs/>
        </w:rPr>
        <w:t xml:space="preserve">nông nghiệp trực thuộc Sở Nông nghiệp và Môi trường và quy định </w:t>
      </w:r>
    </w:p>
    <w:p w14:paraId="4EADA670" w14:textId="3079B225" w:rsidR="006A3F90" w:rsidRDefault="006A3F90" w:rsidP="006A3F90">
      <w:pPr>
        <w:tabs>
          <w:tab w:val="left" w:pos="2610"/>
        </w:tabs>
        <w:spacing w:before="40" w:after="0" w:line="240" w:lineRule="auto"/>
        <w:jc w:val="center"/>
        <w:rPr>
          <w:b/>
          <w:bCs/>
        </w:rPr>
      </w:pPr>
      <w:r w:rsidRPr="006A3F90">
        <w:rPr>
          <w:b/>
          <w:bCs/>
        </w:rPr>
        <w:t>chức năng, nhiệm vụ, quyền hạn, cơ cấu tổ chức</w:t>
      </w:r>
    </w:p>
    <w:p w14:paraId="473CE55C" w14:textId="291E65C3" w:rsidR="006A3F90" w:rsidRDefault="006A3F90" w:rsidP="006A3F90">
      <w:pPr>
        <w:tabs>
          <w:tab w:val="left" w:pos="2610"/>
        </w:tabs>
        <w:spacing w:before="40" w:after="0" w:line="240" w:lineRule="auto"/>
        <w:jc w:val="center"/>
      </w:pPr>
      <w:r>
        <w:rPr>
          <w:noProof/>
        </w:rPr>
        <mc:AlternateContent>
          <mc:Choice Requires="wps">
            <w:drawing>
              <wp:anchor distT="0" distB="0" distL="114300" distR="114300" simplePos="0" relativeHeight="251661312" behindDoc="0" locked="0" layoutInCell="1" allowOverlap="1" wp14:anchorId="0E32A44A" wp14:editId="54E31FCC">
                <wp:simplePos x="0" y="0"/>
                <wp:positionH relativeFrom="column">
                  <wp:posOffset>2331720</wp:posOffset>
                </wp:positionH>
                <wp:positionV relativeFrom="paragraph">
                  <wp:posOffset>20955</wp:posOffset>
                </wp:positionV>
                <wp:extent cx="1390650" cy="12700"/>
                <wp:effectExtent l="0" t="0" r="19050" b="25400"/>
                <wp:wrapNone/>
                <wp:docPr id="2023266148" name="Straight Connector 1"/>
                <wp:cNvGraphicFramePr/>
                <a:graphic xmlns:a="http://schemas.openxmlformats.org/drawingml/2006/main">
                  <a:graphicData uri="http://schemas.microsoft.com/office/word/2010/wordprocessingShape">
                    <wps:wsp>
                      <wps:cNvCnPr/>
                      <wps:spPr>
                        <a:xfrm flipV="1">
                          <a:off x="0" y="0"/>
                          <a:ext cx="13906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9E0E17"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3.6pt,1.65pt" to="293.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kT+pwEAAKIDAAAOAAAAZHJzL2Uyb0RvYy54bWysU8tu2zAQvAfoPxC815JcJE0FyzkkaC9B&#10;GuTRO0MtLQJ8gWQt+e+zXNtKkQYoGuRC8LEzuzO7XF1M1rAtxKS963izqDkDJ32v3abjjw/fP59z&#10;lrJwvTDeQcd3kPjF+tPJagwtLP3gTQ+RIYlL7Rg6PuQc2qpKcgAr0sIHcPiofLQi4zFuqj6KEdmt&#10;qZZ1fVaNPvYhegkp4e3V/pGviV8pkPmnUgkyMx3H2jKtkdanslbrlWg3UYRBy0MZ4h1VWKEdJp2p&#10;rkQW7HfUf1FZLaNPXuWF9LbySmkJpAHVNPUrNfeDCEBa0JwUZpvSx9HKm+2lu41owxhSm8JtLCom&#10;FS1TRodf2FPShZWyiWzbzbbBlJnEy+bLt/rsFN2V+NYsv9Zka7WnKXQhpvwDvGVl03GjXVElWrG9&#10;ThlTY+gxBA8vhdAu7wyUYOPuQDHdl4SEphmBSxPZVmB3hZTgclM6inwUXWBKGzMD638DD/EFCjQ/&#10;/wOeEZTZuzyDrXY+vpU9T8eS1T7+6MBed7Hgyfc7ahFZg4NACg9DWybtzzPBX77W+hkAAP//AwBQ&#10;SwMEFAAGAAgAAAAhADHN5nrcAAAABwEAAA8AAABkcnMvZG93bnJldi54bWxMjkFLw0AUhO+C/2F5&#10;ghexGxOsJWZTRNRDPbUq6O0l+0xCs29DdpvGf+/zVG8zzDDzFevZ9WqiMXSeDdwsElDEtbcdNwbe&#10;356vV6BCRLbYeyYDPxRgXZ6fFZhbf+QtTbvYKBnhkKOBNsYh1zrULTkMCz8QS/btR4dR7NhoO+JR&#10;xl2v0yRZaocdy0OLAz22VO93B2fgK/jw9LGpppf9djPj1WtMP2trzOXF/HAPKtIcT2X4wxd0KIWp&#10;8ge2QfUGsuVdKlURGSjJb1dL8ZWIDHRZ6P/85S8AAAD//wMAUEsBAi0AFAAGAAgAAAAhALaDOJL+&#10;AAAA4QEAABMAAAAAAAAAAAAAAAAAAAAAAFtDb250ZW50X1R5cGVzXS54bWxQSwECLQAUAAYACAAA&#10;ACEAOP0h/9YAAACUAQAACwAAAAAAAAAAAAAAAAAvAQAAX3JlbHMvLnJlbHNQSwECLQAUAAYACAAA&#10;ACEAHd5E/qcBAACiAwAADgAAAAAAAAAAAAAAAAAuAgAAZHJzL2Uyb0RvYy54bWxQSwECLQAUAAYA&#10;CAAAACEAMc3metwAAAAHAQAADwAAAAAAAAAAAAAAAAABBAAAZHJzL2Rvd25yZXYueG1sUEsFBgAA&#10;AAAEAAQA8wAAAAoFAAAAAA==&#10;" strokecolor="#4472c4 [3204]" strokeweight=".5pt">
                <v:stroke joinstyle="miter"/>
              </v:line>
            </w:pict>
          </mc:Fallback>
        </mc:AlternateContent>
      </w:r>
    </w:p>
    <w:p w14:paraId="5576BA11" w14:textId="77777777" w:rsidR="00E33D80" w:rsidRDefault="00E33D80" w:rsidP="008C6E5E">
      <w:pPr>
        <w:spacing w:after="0" w:line="240" w:lineRule="auto"/>
        <w:jc w:val="center"/>
        <w:rPr>
          <w:rFonts w:eastAsia="Times New Roman" w:cs="Times New Roman"/>
          <w:b/>
          <w:bCs/>
          <w:color w:val="000000"/>
          <w:kern w:val="0"/>
          <w:szCs w:val="28"/>
          <w:lang w:eastAsia="vi-VN"/>
          <w14:ligatures w14:val="none"/>
        </w:rPr>
      </w:pPr>
      <w:r w:rsidRPr="00E33D80">
        <w:rPr>
          <w:rFonts w:eastAsia="Times New Roman" w:cs="Times New Roman"/>
          <w:b/>
          <w:bCs/>
          <w:color w:val="000000"/>
          <w:kern w:val="0"/>
          <w:szCs w:val="28"/>
          <w:lang w:eastAsia="vi-VN"/>
          <w14:ligatures w14:val="none"/>
        </w:rPr>
        <w:t>ỦY BAN NHÂN DÂN TỈNH SƠN LA</w:t>
      </w:r>
    </w:p>
    <w:p w14:paraId="701E9942" w14:textId="77777777" w:rsidR="008C6E5E" w:rsidRPr="00E33D80" w:rsidRDefault="008C6E5E" w:rsidP="008C6E5E">
      <w:pPr>
        <w:spacing w:after="0" w:line="240" w:lineRule="auto"/>
        <w:jc w:val="center"/>
        <w:rPr>
          <w:rFonts w:eastAsia="Times New Roman" w:cs="Times New Roman"/>
          <w:b/>
          <w:bCs/>
          <w:color w:val="000000"/>
          <w:kern w:val="0"/>
          <w:szCs w:val="28"/>
          <w:lang w:eastAsia="vi-VN"/>
          <w14:ligatures w14:val="none"/>
        </w:rPr>
      </w:pPr>
    </w:p>
    <w:p w14:paraId="46CD11CA" w14:textId="54F74A99" w:rsidR="00E33D80" w:rsidRPr="00E33D80" w:rsidRDefault="00E33D80" w:rsidP="008C6E5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33D80">
        <w:rPr>
          <w:rFonts w:asciiTheme="majorHAnsi" w:eastAsia="Times New Roman" w:hAnsiTheme="majorHAnsi" w:cstheme="majorHAnsi"/>
          <w:i/>
          <w:iCs/>
          <w:color w:val="000000"/>
          <w:kern w:val="0"/>
          <w:szCs w:val="28"/>
          <w:lang w:eastAsia="vi-VN"/>
          <w14:ligatures w14:val="none"/>
        </w:rPr>
        <w:t xml:space="preserve">Căn cứ Luật Tổ chức </w:t>
      </w:r>
      <w:r w:rsidR="008C6E5E">
        <w:rPr>
          <w:rFonts w:asciiTheme="majorHAnsi" w:eastAsia="Times New Roman" w:hAnsiTheme="majorHAnsi" w:cstheme="majorHAnsi"/>
          <w:i/>
          <w:iCs/>
          <w:color w:val="000000"/>
          <w:kern w:val="0"/>
          <w:szCs w:val="28"/>
          <w:lang w:val="en-US" w:eastAsia="vi-VN"/>
          <w14:ligatures w14:val="none"/>
        </w:rPr>
        <w:t>C</w:t>
      </w:r>
      <w:r w:rsidRPr="00E33D80">
        <w:rPr>
          <w:rFonts w:asciiTheme="majorHAnsi" w:eastAsia="Times New Roman" w:hAnsiTheme="majorHAnsi" w:cstheme="majorHAnsi"/>
          <w:i/>
          <w:iCs/>
          <w:color w:val="000000"/>
          <w:kern w:val="0"/>
          <w:szCs w:val="28"/>
          <w:lang w:eastAsia="vi-VN"/>
          <w14:ligatures w14:val="none"/>
        </w:rPr>
        <w:t>hính quyền địa phương ngày 16 tháng 6 năm 2025;</w:t>
      </w:r>
    </w:p>
    <w:p w14:paraId="443056A3" w14:textId="77777777" w:rsidR="00E33D80" w:rsidRPr="00E33D80" w:rsidRDefault="00E33D80" w:rsidP="008C6E5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33D80">
        <w:rPr>
          <w:rFonts w:asciiTheme="majorHAnsi" w:eastAsia="Times New Roman" w:hAnsiTheme="majorHAnsi" w:cstheme="majorHAnsi"/>
          <w:i/>
          <w:iCs/>
          <w:color w:val="000000"/>
          <w:kern w:val="0"/>
          <w:szCs w:val="28"/>
          <w:lang w:eastAsia="vi-VN"/>
          <w14:ligatures w14:val="none"/>
        </w:rPr>
        <w:t>Căn cứ Nghị định số 120/2020/NĐ-CP ngày 07 tháng 10 năm 2020 của Chính phủ quy định về thành lập, tổ chức lại, giải thể đơn vị sự nghiệp công lập; Nghị định số 83/2024/NĐ-CP ngày 10 tháng 7 năm 2024 của Chính phủ sửa đổi, bổ sung một số điều của Nghị định số 120/2020/NĐ-CP;</w:t>
      </w:r>
    </w:p>
    <w:p w14:paraId="0D788668" w14:textId="4FDA1964" w:rsidR="00E33D80" w:rsidRPr="00E33D80" w:rsidRDefault="00E33D80" w:rsidP="008C6E5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33D80">
        <w:rPr>
          <w:rFonts w:asciiTheme="majorHAnsi" w:eastAsia="Times New Roman" w:hAnsiTheme="majorHAnsi" w:cstheme="majorHAnsi"/>
          <w:i/>
          <w:iCs/>
          <w:color w:val="000000"/>
          <w:kern w:val="0"/>
          <w:szCs w:val="28"/>
          <w:lang w:eastAsia="vi-VN"/>
          <w14:ligatures w14:val="none"/>
        </w:rPr>
        <w:t>Căn cứ Thông tư số 19/2025/TT-NNNMT ngày 19</w:t>
      </w:r>
      <w:r w:rsidR="008C6E5E">
        <w:rPr>
          <w:rFonts w:asciiTheme="majorHAnsi" w:eastAsia="Times New Roman" w:hAnsiTheme="majorHAnsi" w:cstheme="majorHAnsi"/>
          <w:i/>
          <w:iCs/>
          <w:color w:val="000000"/>
          <w:kern w:val="0"/>
          <w:szCs w:val="28"/>
          <w:lang w:val="en-US" w:eastAsia="vi-VN"/>
          <w14:ligatures w14:val="none"/>
        </w:rPr>
        <w:t xml:space="preserve"> tháng </w:t>
      </w:r>
      <w:r w:rsidRPr="00E33D80">
        <w:rPr>
          <w:rFonts w:asciiTheme="majorHAnsi" w:eastAsia="Times New Roman" w:hAnsiTheme="majorHAnsi" w:cstheme="majorHAnsi"/>
          <w:i/>
          <w:iCs/>
          <w:color w:val="000000"/>
          <w:kern w:val="0"/>
          <w:szCs w:val="28"/>
          <w:lang w:eastAsia="vi-VN"/>
          <w14:ligatures w14:val="none"/>
        </w:rPr>
        <w:t>6</w:t>
      </w:r>
      <w:r w:rsidR="008C6E5E">
        <w:rPr>
          <w:rFonts w:asciiTheme="majorHAnsi" w:eastAsia="Times New Roman" w:hAnsiTheme="majorHAnsi" w:cstheme="majorHAnsi"/>
          <w:i/>
          <w:iCs/>
          <w:color w:val="000000"/>
          <w:kern w:val="0"/>
          <w:szCs w:val="28"/>
          <w:lang w:val="en-US" w:eastAsia="vi-VN"/>
          <w14:ligatures w14:val="none"/>
        </w:rPr>
        <w:t xml:space="preserve"> năm </w:t>
      </w:r>
      <w:r w:rsidRPr="00E33D80">
        <w:rPr>
          <w:rFonts w:asciiTheme="majorHAnsi" w:eastAsia="Times New Roman" w:hAnsiTheme="majorHAnsi" w:cstheme="majorHAnsi"/>
          <w:i/>
          <w:iCs/>
          <w:color w:val="000000"/>
          <w:kern w:val="0"/>
          <w:szCs w:val="28"/>
          <w:lang w:eastAsia="vi-VN"/>
          <w14:ligatures w14:val="none"/>
        </w:rPr>
        <w:t xml:space="preserve">2025 của Bộ Nông nghiệp và Môi trường Hướng dẫn chức năng, nhiệm vụ, quyền hạn của cơ quan chuyên môn về Nông nghiệp và Môi trường thuộc </w:t>
      </w:r>
      <w:r w:rsidR="008C6E5E">
        <w:rPr>
          <w:rFonts w:asciiTheme="majorHAnsi" w:eastAsia="Times New Roman" w:hAnsiTheme="majorHAnsi" w:cstheme="majorHAnsi"/>
          <w:i/>
          <w:iCs/>
          <w:color w:val="000000"/>
          <w:kern w:val="0"/>
          <w:szCs w:val="28"/>
          <w:lang w:val="en-US" w:eastAsia="vi-VN"/>
          <w14:ligatures w14:val="none"/>
        </w:rPr>
        <w:t>UBND</w:t>
      </w:r>
      <w:r w:rsidRPr="00E33D80">
        <w:rPr>
          <w:rFonts w:asciiTheme="majorHAnsi" w:eastAsia="Times New Roman" w:hAnsiTheme="majorHAnsi" w:cstheme="majorHAnsi"/>
          <w:i/>
          <w:iCs/>
          <w:color w:val="000000"/>
          <w:kern w:val="0"/>
          <w:szCs w:val="28"/>
          <w:lang w:eastAsia="vi-VN"/>
          <w14:ligatures w14:val="none"/>
        </w:rPr>
        <w:t xml:space="preserve"> tỉnh, thành phố trực thuộc trung ương và </w:t>
      </w:r>
      <w:r w:rsidR="008C6E5E">
        <w:rPr>
          <w:rFonts w:asciiTheme="majorHAnsi" w:eastAsia="Times New Roman" w:hAnsiTheme="majorHAnsi" w:cstheme="majorHAnsi"/>
          <w:i/>
          <w:iCs/>
          <w:color w:val="000000"/>
          <w:kern w:val="0"/>
          <w:szCs w:val="28"/>
          <w:lang w:val="en-US" w:eastAsia="vi-VN"/>
          <w14:ligatures w14:val="none"/>
        </w:rPr>
        <w:t>UBND</w:t>
      </w:r>
      <w:r w:rsidRPr="00E33D80">
        <w:rPr>
          <w:rFonts w:asciiTheme="majorHAnsi" w:eastAsia="Times New Roman" w:hAnsiTheme="majorHAnsi" w:cstheme="majorHAnsi"/>
          <w:i/>
          <w:iCs/>
          <w:color w:val="000000"/>
          <w:kern w:val="0"/>
          <w:szCs w:val="28"/>
          <w:lang w:eastAsia="vi-VN"/>
          <w14:ligatures w14:val="none"/>
        </w:rPr>
        <w:t xml:space="preserve"> xã, phường, đặc khu thuộc tỉnh, thành phố trực thuộc trung ương;</w:t>
      </w:r>
    </w:p>
    <w:p w14:paraId="63C8F96E" w14:textId="28D23126" w:rsidR="00E33D80" w:rsidRPr="00E33D80" w:rsidRDefault="00E33D80" w:rsidP="008C6E5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33D80">
        <w:rPr>
          <w:rFonts w:asciiTheme="majorHAnsi" w:eastAsia="Times New Roman" w:hAnsiTheme="majorHAnsi" w:cstheme="majorHAnsi"/>
          <w:i/>
          <w:iCs/>
          <w:color w:val="000000"/>
          <w:kern w:val="0"/>
          <w:szCs w:val="28"/>
          <w:lang w:eastAsia="vi-VN"/>
          <w14:ligatures w14:val="none"/>
        </w:rPr>
        <w:t>Căn cứ Quyết định số 08/2021/QĐ-UBND ngày 26</w:t>
      </w:r>
      <w:r w:rsidR="008C6E5E">
        <w:rPr>
          <w:rFonts w:asciiTheme="majorHAnsi" w:eastAsia="Times New Roman" w:hAnsiTheme="majorHAnsi" w:cstheme="majorHAnsi"/>
          <w:i/>
          <w:iCs/>
          <w:color w:val="000000"/>
          <w:kern w:val="0"/>
          <w:szCs w:val="28"/>
          <w:lang w:val="en-US" w:eastAsia="vi-VN"/>
          <w14:ligatures w14:val="none"/>
        </w:rPr>
        <w:t xml:space="preserve"> tháng </w:t>
      </w:r>
      <w:r w:rsidRPr="00E33D80">
        <w:rPr>
          <w:rFonts w:asciiTheme="majorHAnsi" w:eastAsia="Times New Roman" w:hAnsiTheme="majorHAnsi" w:cstheme="majorHAnsi"/>
          <w:i/>
          <w:iCs/>
          <w:color w:val="000000"/>
          <w:kern w:val="0"/>
          <w:szCs w:val="28"/>
          <w:lang w:eastAsia="vi-VN"/>
          <w14:ligatures w14:val="none"/>
        </w:rPr>
        <w:t>5</w:t>
      </w:r>
      <w:r w:rsidR="008C6E5E">
        <w:rPr>
          <w:rFonts w:asciiTheme="majorHAnsi" w:eastAsia="Times New Roman" w:hAnsiTheme="majorHAnsi" w:cstheme="majorHAnsi"/>
          <w:i/>
          <w:iCs/>
          <w:color w:val="000000"/>
          <w:kern w:val="0"/>
          <w:szCs w:val="28"/>
          <w:lang w:val="en-US" w:eastAsia="vi-VN"/>
          <w14:ligatures w14:val="none"/>
        </w:rPr>
        <w:t xml:space="preserve"> năm </w:t>
      </w:r>
      <w:r w:rsidRPr="00E33D80">
        <w:rPr>
          <w:rFonts w:asciiTheme="majorHAnsi" w:eastAsia="Times New Roman" w:hAnsiTheme="majorHAnsi" w:cstheme="majorHAnsi"/>
          <w:i/>
          <w:iCs/>
          <w:color w:val="000000"/>
          <w:kern w:val="0"/>
          <w:szCs w:val="28"/>
          <w:lang w:eastAsia="vi-VN"/>
          <w14:ligatures w14:val="none"/>
        </w:rPr>
        <w:t>2021 của UBND tỉnh Sơn La về việc ban hành Quy định phân cấp quản lý tổ chức, bộ máy trong các cơ quan hành chính, đơn vị sự nghiệp công lập trên địa bàn tỉnh Sơn La;</w:t>
      </w:r>
    </w:p>
    <w:p w14:paraId="3015CCE6" w14:textId="6169E4B5" w:rsidR="00E33D80" w:rsidRPr="00E33D80" w:rsidRDefault="00E33D80" w:rsidP="008C6E5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33D80">
        <w:rPr>
          <w:rFonts w:asciiTheme="majorHAnsi" w:eastAsia="Times New Roman" w:hAnsiTheme="majorHAnsi" w:cstheme="majorHAnsi"/>
          <w:i/>
          <w:iCs/>
          <w:color w:val="000000"/>
          <w:kern w:val="0"/>
          <w:szCs w:val="28"/>
          <w:lang w:eastAsia="vi-VN"/>
          <w14:ligatures w14:val="none"/>
        </w:rPr>
        <w:t>Căn cứ Đề án 1472/ĐA-UBND ngày 21</w:t>
      </w:r>
      <w:r w:rsidR="008C6E5E">
        <w:rPr>
          <w:rFonts w:asciiTheme="majorHAnsi" w:eastAsia="Times New Roman" w:hAnsiTheme="majorHAnsi" w:cstheme="majorHAnsi"/>
          <w:i/>
          <w:iCs/>
          <w:color w:val="000000"/>
          <w:kern w:val="0"/>
          <w:szCs w:val="28"/>
          <w:lang w:val="en-US" w:eastAsia="vi-VN"/>
          <w14:ligatures w14:val="none"/>
        </w:rPr>
        <w:t xml:space="preserve"> tháng </w:t>
      </w:r>
      <w:r w:rsidRPr="00E33D80">
        <w:rPr>
          <w:rFonts w:asciiTheme="majorHAnsi" w:eastAsia="Times New Roman" w:hAnsiTheme="majorHAnsi" w:cstheme="majorHAnsi"/>
          <w:i/>
          <w:iCs/>
          <w:color w:val="000000"/>
          <w:kern w:val="0"/>
          <w:szCs w:val="28"/>
          <w:lang w:eastAsia="vi-VN"/>
          <w14:ligatures w14:val="none"/>
        </w:rPr>
        <w:t>6</w:t>
      </w:r>
      <w:r w:rsidR="008C6E5E">
        <w:rPr>
          <w:rFonts w:asciiTheme="majorHAnsi" w:eastAsia="Times New Roman" w:hAnsiTheme="majorHAnsi" w:cstheme="majorHAnsi"/>
          <w:i/>
          <w:iCs/>
          <w:color w:val="000000"/>
          <w:kern w:val="0"/>
          <w:szCs w:val="28"/>
          <w:lang w:val="en-US" w:eastAsia="vi-VN"/>
          <w14:ligatures w14:val="none"/>
        </w:rPr>
        <w:t xml:space="preserve"> năm </w:t>
      </w:r>
      <w:r w:rsidRPr="00E33D80">
        <w:rPr>
          <w:rFonts w:asciiTheme="majorHAnsi" w:eastAsia="Times New Roman" w:hAnsiTheme="majorHAnsi" w:cstheme="majorHAnsi"/>
          <w:i/>
          <w:iCs/>
          <w:color w:val="000000"/>
          <w:kern w:val="0"/>
          <w:szCs w:val="28"/>
          <w:lang w:eastAsia="vi-VN"/>
          <w14:ligatures w14:val="none"/>
        </w:rPr>
        <w:t>2025 về tổ chức bộ máy chính quyền địa phương cấp xã khi kết thúc chính quyền cấp huyện và tổ chức chính quyền địa phương 02 cấp;</w:t>
      </w:r>
    </w:p>
    <w:p w14:paraId="4F626886" w14:textId="77777777" w:rsidR="00E33D80" w:rsidRPr="00E33D80" w:rsidRDefault="00E33D80" w:rsidP="008C6E5E">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E33D80">
        <w:rPr>
          <w:rFonts w:asciiTheme="majorHAnsi" w:eastAsia="Times New Roman" w:hAnsiTheme="majorHAnsi" w:cstheme="majorHAnsi"/>
          <w:i/>
          <w:iCs/>
          <w:color w:val="000000"/>
          <w:kern w:val="0"/>
          <w:szCs w:val="28"/>
          <w:lang w:eastAsia="vi-VN"/>
          <w14:ligatures w14:val="none"/>
        </w:rPr>
        <w:t>Theo đề nghị của Giám đốc Sở Nội vụ tại Tờ trình số 428/TTr-SNV ngày 30 tháng 6 năm 2025.</w:t>
      </w:r>
    </w:p>
    <w:p w14:paraId="0D50B5C6" w14:textId="77777777" w:rsidR="00E33D80" w:rsidRPr="00E33D80" w:rsidRDefault="00E33D80" w:rsidP="008C6E5E">
      <w:pPr>
        <w:spacing w:before="120" w:after="0" w:line="240" w:lineRule="auto"/>
        <w:jc w:val="center"/>
        <w:rPr>
          <w:rFonts w:asciiTheme="majorHAnsi" w:eastAsia="Times New Roman" w:hAnsiTheme="majorHAnsi" w:cstheme="majorHAnsi"/>
          <w:b/>
          <w:bCs/>
          <w:color w:val="000000"/>
          <w:kern w:val="0"/>
          <w:szCs w:val="28"/>
          <w:lang w:eastAsia="vi-VN"/>
          <w14:ligatures w14:val="none"/>
        </w:rPr>
      </w:pPr>
      <w:r w:rsidRPr="00E33D80">
        <w:rPr>
          <w:rFonts w:asciiTheme="majorHAnsi" w:eastAsia="Times New Roman" w:hAnsiTheme="majorHAnsi" w:cstheme="majorHAnsi"/>
          <w:b/>
          <w:bCs/>
          <w:color w:val="000000"/>
          <w:kern w:val="0"/>
          <w:szCs w:val="28"/>
          <w:lang w:eastAsia="vi-VN"/>
          <w14:ligatures w14:val="none"/>
        </w:rPr>
        <w:t>QUYẾT ĐỊNH:</w:t>
      </w:r>
    </w:p>
    <w:p w14:paraId="6C5A1F47"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b/>
          <w:bCs/>
          <w:color w:val="000000"/>
          <w:kern w:val="0"/>
          <w:szCs w:val="28"/>
          <w:lang w:eastAsia="vi-VN"/>
          <w14:ligatures w14:val="none"/>
        </w:rPr>
        <w:t xml:space="preserve">Điều 1. </w:t>
      </w:r>
      <w:r w:rsidRPr="00E33D80">
        <w:rPr>
          <w:rFonts w:asciiTheme="majorHAnsi" w:eastAsia="Times New Roman" w:hAnsiTheme="majorHAnsi" w:cstheme="majorHAnsi"/>
          <w:color w:val="000000"/>
          <w:kern w:val="0"/>
          <w:szCs w:val="28"/>
          <w:lang w:eastAsia="vi-VN"/>
          <w14:ligatures w14:val="none"/>
        </w:rPr>
        <w:t>Tổ chức lại Trung tâm Khuyến nông trực thuộc Sở Nông nghiệp và Môi trường trên cơ sở tiếp nhận 12 Trung tâm dịch vụ (kỹ thuật) nông nghiệp thuộc UBND cấp huyện.</w:t>
      </w:r>
    </w:p>
    <w:p w14:paraId="586EE964"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Tên gọi: Trung tâm Kỹ thuật nông nghiệp trực thuộc Sở Nông nghiệp và Môi trường (đổi tên từ Trung tâm Khuyến nông).</w:t>
      </w:r>
    </w:p>
    <w:p w14:paraId="4F778CDE" w14:textId="77777777" w:rsidR="00B304E2" w:rsidRDefault="00E33D80" w:rsidP="008C6E5E">
      <w:pPr>
        <w:spacing w:before="120" w:after="0" w:line="240" w:lineRule="auto"/>
        <w:ind w:firstLine="720"/>
        <w:rPr>
          <w:rFonts w:asciiTheme="majorHAnsi" w:eastAsia="Times New Roman" w:hAnsiTheme="majorHAnsi" w:cstheme="majorHAnsi"/>
          <w:kern w:val="0"/>
          <w:szCs w:val="28"/>
          <w:lang w:eastAsia="vi-VN"/>
          <w14:ligatures w14:val="none"/>
        </w:rPr>
      </w:pPr>
      <w:r w:rsidRPr="008C6E5E">
        <w:rPr>
          <w:rFonts w:asciiTheme="majorHAnsi" w:eastAsia="Times New Roman" w:hAnsiTheme="majorHAnsi" w:cstheme="majorHAnsi"/>
          <w:b/>
          <w:bCs/>
          <w:color w:val="000000"/>
          <w:kern w:val="0"/>
          <w:szCs w:val="28"/>
          <w:lang w:eastAsia="vi-VN"/>
          <w14:ligatures w14:val="none"/>
        </w:rPr>
        <w:t xml:space="preserve">Điều 2. </w:t>
      </w:r>
      <w:r w:rsidRPr="008C6E5E">
        <w:rPr>
          <w:rFonts w:asciiTheme="majorHAnsi" w:eastAsia="Times New Roman" w:hAnsiTheme="majorHAnsi" w:cstheme="majorHAnsi"/>
          <w:color w:val="000000"/>
          <w:kern w:val="0"/>
          <w:szCs w:val="28"/>
          <w:lang w:eastAsia="vi-VN"/>
          <w14:ligatures w14:val="none"/>
        </w:rPr>
        <w:t>Quy định chức năng, nhiệm vụ, quyền hạn, cơ cấu tổ chức của Trung tâm Kỹ thuật nông nghiệp trực thuộc Sở Nông nghiệp và Môi trường.</w:t>
      </w:r>
      <w:r w:rsidRPr="008C6E5E">
        <w:rPr>
          <w:rFonts w:asciiTheme="majorHAnsi" w:eastAsia="Times New Roman" w:hAnsiTheme="majorHAnsi" w:cstheme="majorHAnsi"/>
          <w:kern w:val="0"/>
          <w:szCs w:val="28"/>
          <w:lang w:eastAsia="vi-VN"/>
          <w14:ligatures w14:val="none"/>
        </w:rPr>
        <w:t xml:space="preserve"> </w:t>
      </w:r>
    </w:p>
    <w:p w14:paraId="0F706DBC" w14:textId="07CC9B89" w:rsidR="00E33D80" w:rsidRPr="00DF50E8"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DF50E8">
        <w:rPr>
          <w:rFonts w:asciiTheme="majorHAnsi" w:eastAsia="Times New Roman" w:hAnsiTheme="majorHAnsi" w:cstheme="majorHAnsi"/>
          <w:color w:val="000000"/>
          <w:kern w:val="0"/>
          <w:szCs w:val="28"/>
          <w:lang w:eastAsia="vi-VN"/>
          <w14:ligatures w14:val="none"/>
        </w:rPr>
        <w:lastRenderedPageBreak/>
        <w:t>1. Vị trí và chức năng</w:t>
      </w:r>
    </w:p>
    <w:p w14:paraId="672E7001"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E33D80">
        <w:rPr>
          <w:rFonts w:asciiTheme="majorHAnsi" w:eastAsia="Times New Roman" w:hAnsiTheme="majorHAnsi" w:cstheme="majorHAnsi"/>
          <w:color w:val="000000"/>
          <w:spacing w:val="2"/>
          <w:kern w:val="0"/>
          <w:szCs w:val="28"/>
          <w:lang w:eastAsia="vi-VN"/>
          <w14:ligatures w14:val="none"/>
        </w:rPr>
        <w:t>Trung tâm Kỹ thuật nông nghiệp là đơn vị sự nghiệp công lập, trực thuộc Sở Nông nghiệp và Môi trường tỉnh Sơn La; thực hiện các hoạt động sự nghiệp về khuyến nông, lâm, ngư nghiệp; thực hiện các hoạt động sự nghiệp Chăn nuôi - Thú y, Trồng trọt và Bảo vệ thực vật, Chất lượng nông lâm thủy sản trên địa bàn tỉnh theo quy định của pháp luật; Trung tâm có tư cách pháp nhân, có con dấu, được mở tài khoản tại Kho bạc Nhà nước và Ngân hàng để hoạt động theo quy định của pháp luật.</w:t>
      </w:r>
    </w:p>
    <w:p w14:paraId="7B8BC4BB"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 Nhiệm vụ, quyền hạn</w:t>
      </w:r>
    </w:p>
    <w:p w14:paraId="3C072921"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a) Lĩnh vực khuyến nông và giống cây trồng:</w:t>
      </w:r>
    </w:p>
    <w:p w14:paraId="79C19FBE"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 Đề xuất kế hoạch phát triển dài hạn, 5 năm và hàng năm, các chương trình, dự án, mô hình về khuyến nông trên địa bàn tỉnh. Tổ chức thực hiện sau khi được cấp có thẩm quyền phê duyệt.</w:t>
      </w:r>
    </w:p>
    <w:p w14:paraId="141A242D"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 Ký hợp đồng triển khai, thực hiện các chương trình, dự án khuyến nông với các tổ chức, cá nhân theo quy định của pháp luật.</w:t>
      </w:r>
    </w:p>
    <w:p w14:paraId="49EA9868"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(3) Chủ trì thực hiện một số chương trình, dự án, nhiệm vụ khuyến nông theo phân công của giám đốc Sở Nông nghiệp và Môi trường.</w:t>
      </w:r>
    </w:p>
    <w:p w14:paraId="47E5A140"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(4) Hướng dẫn việc thực hiện chương trình, dự án khuyến nông theo quy định của pháp luật.</w:t>
      </w:r>
    </w:p>
    <w:p w14:paraId="4F67FB6D"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(5) Hướng dẫn về nội dung, phương pháp hoạt động khuyến nông cho các cơ quan, đơn vị tham gia hoạt động khuyến nông.</w:t>
      </w:r>
    </w:p>
    <w:p w14:paraId="63256301"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E33D80">
        <w:rPr>
          <w:rFonts w:asciiTheme="majorHAnsi" w:eastAsia="Times New Roman" w:hAnsiTheme="majorHAnsi" w:cstheme="majorHAnsi"/>
          <w:color w:val="000000"/>
          <w:spacing w:val="-2"/>
          <w:kern w:val="0"/>
          <w:szCs w:val="28"/>
          <w:lang w:eastAsia="vi-VN"/>
          <w14:ligatures w14:val="none"/>
        </w:rPr>
        <w:t>(6) Chủ trì xây dựng chương trình, tài liệu hướng dẫn khuyến nông; tổ chức tập huấn kỹ thuật, nghiệp vụ cho cán bộ, cộng tác viên khuyến nông các cấp và nông dân.</w:t>
      </w:r>
    </w:p>
    <w:p w14:paraId="2C541879"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(7) Tổ chức hoạt động thông tin tuyên truyền về khuyến nông theo quy định của pháp luật.</w:t>
      </w:r>
    </w:p>
    <w:p w14:paraId="313B9E25"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(8) Tổ chức và tham gia tổ chức các hội thi, hội thảo, hội chợ, triển lãm, diễn đàn, tham quan học tập, trao đổi kinh nghiệm về khuyến nông.</w:t>
      </w:r>
    </w:p>
    <w:p w14:paraId="572EB028"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(9) Tư vấn và cung cấp các dịch vụ khuyến nông theo quy định của pháp luật.</w:t>
      </w:r>
    </w:p>
    <w:p w14:paraId="3528C9A5"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E33D80">
        <w:rPr>
          <w:rFonts w:asciiTheme="majorHAnsi" w:eastAsia="Times New Roman" w:hAnsiTheme="majorHAnsi" w:cstheme="majorHAnsi"/>
          <w:color w:val="000000"/>
          <w:spacing w:val="2"/>
          <w:kern w:val="0"/>
          <w:szCs w:val="28"/>
          <w:lang w:eastAsia="vi-VN"/>
          <w14:ligatures w14:val="none"/>
        </w:rPr>
        <w:t>(10) Tham gia đào tạo nghề nông nghiệp cho lao động nông thôn trên địa bàn theo phân công của Giám đốc Sở Nông nghiệp và Môi trường và theo quy định pháp luật.</w:t>
      </w:r>
    </w:p>
    <w:p w14:paraId="78CC93FB"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(11) Quản lý và sử dụng quỹ hoạt động khuyến nông (nếu có) theo quy định của pháp luật.</w:t>
      </w:r>
    </w:p>
    <w:p w14:paraId="5B560A9B"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(12) Thực hiện hợp tác quốc tế về khuyến nông theo quy định của pháp luật.</w:t>
      </w:r>
    </w:p>
    <w:p w14:paraId="0EE1B10E"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(13) Khảo nghiệm các giống cây trồng cây mới (cây lương thực, cây rau, cây hoa, cây công nghiệp, cây lâm nghiệp...); vật nuôi mới (gia súc, đại gia súc, gia cầm...); thủy sản mới (cá, tôm, ba ba...).</w:t>
      </w:r>
    </w:p>
    <w:p w14:paraId="3C603FE5" w14:textId="77777777" w:rsidR="00E33D80" w:rsidRPr="008C6E5E"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8C6E5E">
        <w:rPr>
          <w:rFonts w:asciiTheme="majorHAnsi" w:eastAsia="Times New Roman" w:hAnsiTheme="majorHAnsi" w:cstheme="majorHAnsi"/>
          <w:color w:val="000000"/>
          <w:kern w:val="0"/>
          <w:szCs w:val="28"/>
          <w:lang w:eastAsia="vi-VN"/>
          <w14:ligatures w14:val="none"/>
        </w:rPr>
        <w:lastRenderedPageBreak/>
        <w:t>(14) Thực nghiệm, xây dựng quy trình sản xuất giống cây trồng, vật nuôi,</w:t>
      </w:r>
      <w:r w:rsidRPr="008C6E5E">
        <w:rPr>
          <w:rFonts w:asciiTheme="majorHAnsi" w:eastAsia="Times New Roman" w:hAnsiTheme="majorHAnsi" w:cstheme="majorHAnsi"/>
          <w:kern w:val="0"/>
          <w:szCs w:val="28"/>
          <w:lang w:eastAsia="vi-VN"/>
          <w14:ligatures w14:val="none"/>
        </w:rPr>
        <w:t xml:space="preserve"> </w:t>
      </w:r>
      <w:r w:rsidRPr="008C6E5E">
        <w:rPr>
          <w:rFonts w:asciiTheme="majorHAnsi" w:eastAsia="Times New Roman" w:hAnsiTheme="majorHAnsi" w:cstheme="majorHAnsi"/>
          <w:color w:val="000000"/>
          <w:kern w:val="0"/>
          <w:szCs w:val="28"/>
          <w:lang w:eastAsia="vi-VN"/>
          <w14:ligatures w14:val="none"/>
        </w:rPr>
        <w:t>thủy sản mới có năng suất cao, chất lượng tốt để đưa vào sản xuất trên địa bàn tỉnh. Thực nghiệm, xây dựng quy trình phòng trừ sinh vật gây hại cây trồng, phòng trừ bệnh cho vật nuôi, thủy sản.</w:t>
      </w:r>
    </w:p>
    <w:p w14:paraId="53800AE2"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(15) Khảo nghiệm thuốc Bảo vệ thực vật mới, thuốc Thú y mới (sử dụng cho vật nuôi và sử dụng cho nuôi trồng thủy sản).</w:t>
      </w:r>
    </w:p>
    <w:p w14:paraId="722E6002"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(16) Khảo nghiệm phân bón cho cây trồng, thức ăn chăn nuôi (thức ăn cho chăn nuôi và thức ăn cho nuôi trồng thủy sản).</w:t>
      </w:r>
    </w:p>
    <w:p w14:paraId="782619BE"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spacing w:val="2"/>
          <w:kern w:val="0"/>
          <w:szCs w:val="28"/>
          <w:lang w:eastAsia="vi-VN"/>
          <w14:ligatures w14:val="none"/>
        </w:rPr>
      </w:pPr>
      <w:r w:rsidRPr="00E33D80">
        <w:rPr>
          <w:rFonts w:asciiTheme="majorHAnsi" w:eastAsia="Times New Roman" w:hAnsiTheme="majorHAnsi" w:cstheme="majorHAnsi"/>
          <w:color w:val="000000"/>
          <w:spacing w:val="2"/>
          <w:kern w:val="0"/>
          <w:szCs w:val="28"/>
          <w:lang w:eastAsia="vi-VN"/>
          <w14:ligatures w14:val="none"/>
        </w:rPr>
        <w:t>(17) Chuyển giao, áp dụng các tiến bộ khoa học, kỹ thuật về giống cây trồng, vật nuôi, thuỷ sản vào sản xuất nông lâm nghiệp và nuôi trồng thuỷ sản trên địa bàn tỉnh.</w:t>
      </w:r>
    </w:p>
    <w:p w14:paraId="68B69950"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(18) Tổ chức sản xuất và cung ứng sản phẩm giống cây trồng, vật nuôi, thuỷ sản phục vụ sản xuất trên địa bàn tỉnh.</w:t>
      </w:r>
    </w:p>
    <w:p w14:paraId="402485AD"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(19) Thực hiện dịch vụ cung ứng vật tư kỹ thuật nông nghiệp (phân bón, thuốc bảo vệ thực vật, thuốc thú y, thức ăn chăn nuôi) phục vụ sản xuất trên địa bàn tỉnh.</w:t>
      </w:r>
    </w:p>
    <w:p w14:paraId="5429221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(20) Tổ chức nghiên cứu, ứng dụng thử nghiệm và lưu giữ giống một số giống cây trồng, vật nuôi, thuỷ sản nhập từ ngoài tỉnh hoặc nước ngoài có năng suất và giá trị hàng hoá cao nhằm đáp ứng nhu cầu phát triển sản xuất nông lâm nghiệp và nuôi trồng thuỷ sản của tỉnh.</w:t>
      </w:r>
    </w:p>
    <w:p w14:paraId="490E1AA2"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(21) Dự phòng và cung ứng giống cây trồng, vật nuôi, thủy sản theo đặt hàng của cơ quan nhà nước có thẩm quyền.</w:t>
      </w:r>
    </w:p>
    <w:p w14:paraId="3D2094DD"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(22) Tham gia thực hiện chính sách đầu tư hỗ trợ giống cây trồng, vật nuôi, thuỷ sản trên địa bàn tỉnh theo kế hoạch đã được phê duyệt.</w:t>
      </w:r>
    </w:p>
    <w:p w14:paraId="25FBBE39"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(23) Quản lý viên chức, lao động hợp đồng và quản lý tài chính, tài sản thuộc thẩm quyền theo phân cấp và theo quy định của pháp luật.</w:t>
      </w:r>
    </w:p>
    <w:p w14:paraId="45BD65AD"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(24) Thực hiện các nhiệm vụ khác do giám đốc Sở Nông nghiệp và Môi trường giao và theo quy định của pháp luật.</w:t>
      </w:r>
    </w:p>
    <w:p w14:paraId="0DF276F1" w14:textId="6132EC99"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E33D80">
        <w:rPr>
          <w:rFonts w:asciiTheme="majorHAnsi" w:eastAsia="Times New Roman" w:hAnsiTheme="majorHAnsi" w:cstheme="majorHAnsi"/>
          <w:color w:val="000000"/>
          <w:kern w:val="0"/>
          <w:szCs w:val="28"/>
          <w:lang w:eastAsia="vi-VN"/>
          <w14:ligatures w14:val="none"/>
        </w:rPr>
        <w:t>b) Lĩnh vực chăn nuôi, thú y và thuỷ sản</w:t>
      </w:r>
      <w:r w:rsidR="00883B2F">
        <w:rPr>
          <w:rFonts w:asciiTheme="majorHAnsi" w:eastAsia="Times New Roman" w:hAnsiTheme="majorHAnsi" w:cstheme="majorHAnsi"/>
          <w:color w:val="000000"/>
          <w:kern w:val="0"/>
          <w:szCs w:val="28"/>
          <w:lang w:val="en-US" w:eastAsia="vi-VN"/>
          <w14:ligatures w14:val="none"/>
        </w:rPr>
        <w:t xml:space="preserve"> </w:t>
      </w:r>
    </w:p>
    <w:p w14:paraId="29C9ADE7"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 Xây dựng kế hoạch hoạt động sản xuất, kinh doanh, dịch vụ thuộc lĩnh vực chăn nuôi và thú y phục vụ dịch vụ công hằng năm; hoặc theo nhu cầu của các tổ chức, cá nhân có hoạt động sản xuất về lĩnh vực trên địa bàn được giao.</w:t>
      </w:r>
    </w:p>
    <w:p w14:paraId="39215328"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 Thực hiện các hoạt động dịch vụ về sản xuất, kinh doanh, chuyển giao tiến bộ kỹ thuật lĩnh vực chăn nuôi và thú y theo quy định hiện hành.</w:t>
      </w:r>
    </w:p>
    <w:p w14:paraId="4E7FF002"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(3) Phối hợp hướng dẫn kỹ thuật về sản xuất chăn nuôi, nuôi trồng thuỷ sản, công tác thú y, phòng chống dịch bệnh cho động vật và thủy sản; phối hợp khắc phục hậu quả do thiên tai, dịch bệnh đối với sản xuất chăn nuôi, nuôi trồng thủy sản.</w:t>
      </w:r>
    </w:p>
    <w:p w14:paraId="1BDFAE1D" w14:textId="77777777" w:rsidR="00E33D80" w:rsidRPr="008C6E5E"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8C6E5E">
        <w:rPr>
          <w:rFonts w:asciiTheme="majorHAnsi" w:eastAsia="Times New Roman" w:hAnsiTheme="majorHAnsi" w:cstheme="majorHAnsi"/>
          <w:color w:val="000000"/>
          <w:kern w:val="0"/>
          <w:szCs w:val="28"/>
          <w:lang w:eastAsia="vi-VN"/>
          <w14:ligatures w14:val="none"/>
        </w:rPr>
        <w:lastRenderedPageBreak/>
        <w:t>(4) Phối hợp thực hiện các nhiệm vụ quản lý nhà nước trong công tác phòng, chống dịch bệnh động vật; kiểm soát giết mổ động vật phục vụ tiêu dùng</w:t>
      </w:r>
      <w:r w:rsidRPr="008C6E5E">
        <w:rPr>
          <w:rFonts w:asciiTheme="majorHAnsi" w:eastAsia="Times New Roman" w:hAnsiTheme="majorHAnsi" w:cstheme="majorHAnsi"/>
          <w:kern w:val="0"/>
          <w:szCs w:val="28"/>
          <w:lang w:eastAsia="vi-VN"/>
          <w14:ligatures w14:val="none"/>
        </w:rPr>
        <w:t xml:space="preserve"> </w:t>
      </w:r>
      <w:r w:rsidRPr="008C6E5E">
        <w:rPr>
          <w:rFonts w:asciiTheme="majorHAnsi" w:eastAsia="Times New Roman" w:hAnsiTheme="majorHAnsi" w:cstheme="majorHAnsi"/>
          <w:color w:val="000000"/>
          <w:kern w:val="0"/>
          <w:szCs w:val="28"/>
          <w:lang w:eastAsia="vi-VN"/>
          <w14:ligatures w14:val="none"/>
        </w:rPr>
        <w:t>trong nước theo phân công, uỷ quyền của Chi cục Chăn nuôi, Thú y và Thuỷ sản, theo quy định của pháp luật.</w:t>
      </w:r>
    </w:p>
    <w:p w14:paraId="6F274A07"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(5) Phối hợp với Chi cục Chăn nuôi, Thú y và Thuỷ sản tổ chức quản lý việc thu, nộp và sử dụng phí, lệ phí theo quy định pháp luật.</w:t>
      </w:r>
    </w:p>
    <w:p w14:paraId="514FD0EC" w14:textId="3BBFEACC"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val="en-US" w:eastAsia="vi-VN"/>
          <w14:ligatures w14:val="none"/>
        </w:rPr>
      </w:pPr>
      <w:r w:rsidRPr="00E33D80">
        <w:rPr>
          <w:rFonts w:asciiTheme="majorHAnsi" w:eastAsia="Times New Roman" w:hAnsiTheme="majorHAnsi" w:cstheme="majorHAnsi"/>
          <w:color w:val="000000"/>
          <w:kern w:val="0"/>
          <w:szCs w:val="28"/>
          <w:lang w:eastAsia="vi-VN"/>
          <w14:ligatures w14:val="none"/>
        </w:rPr>
        <w:t>c) Lĩnh vực trồng trọt và bảo vệ thực vật</w:t>
      </w:r>
      <w:r w:rsidR="00171A2F">
        <w:rPr>
          <w:rFonts w:asciiTheme="majorHAnsi" w:eastAsia="Times New Roman" w:hAnsiTheme="majorHAnsi" w:cstheme="majorHAnsi"/>
          <w:color w:val="000000"/>
          <w:kern w:val="0"/>
          <w:szCs w:val="28"/>
          <w:lang w:val="en-US" w:eastAsia="vi-VN"/>
          <w14:ligatures w14:val="none"/>
        </w:rPr>
        <w:t xml:space="preserve"> </w:t>
      </w:r>
    </w:p>
    <w:p w14:paraId="7E0EDA9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 Xây dựng kế hoạch về hoạt động sản xuất, kinh doanh, dịch vụ thuộc lĩnh vực Trồng trọt và Bảo vệ thực vật (BVTV) trên địa bàn được giao phục vụ dịch vụ công hằng năm; tổ chức thực hiện kế hoạch được cấp trên phê duyệt.</w:t>
      </w:r>
    </w:p>
    <w:p w14:paraId="1AE5433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 Thực hiện điều tra, phát hiện, dự tính, dự báo tình hình dịch hại trên các loại cây trồng nông nghiệp, lâm nghiệp tại địa phương, báo cáo đầy đủ, kịp thời cho chính quyền địa phương và Chi cục Trồng trọt và Bảo vệ thực vật.</w:t>
      </w:r>
    </w:p>
    <w:p w14:paraId="6850D685"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(3) Thực hiện hướng dẫn các biện pháp phòng trừ sinh vật gây hại tài nguyên thực vật; đề xuất các biện pháp, khắc phục hậu quả của dịch gây hại tài nguyên thực vật; thông tin tuyên truyền, hướng dẫn các tổ chức, cá nhân trong việc xử lý dịch hại trong sản xuất nông nghiệp.</w:t>
      </w:r>
    </w:p>
    <w:p w14:paraId="00428CF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(4) Tổ chức cung ứng giống cây trồng, vật tư phân bón, thuốc BVTV, tư vấn dịch vụ sản xuất nông nghiệp, thu phí và lệ phí (nếu có) các dịch vụ về Trồng trọt và bảo vệ thực vật theo quy đinh hiện hành.</w:t>
      </w:r>
    </w:p>
    <w:p w14:paraId="14271270"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(5) Thực hiện các nhiệm vụ phục vụ công tác quản lý nhà nước lĩnh vực trồng trọt, kiểm dịch và bảo vệ thực vật theo phân công, ủy quyền của Chi cục Trồng trọt và Bảo vệ thực vật theo quy định.</w:t>
      </w:r>
    </w:p>
    <w:p w14:paraId="39FB0E55"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d) Lĩnh vực chất lượng, an toàn thực phẩm nông lâm thủy sản</w:t>
      </w:r>
    </w:p>
    <w:p w14:paraId="6F61AB33"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 Thực hiện các dịch vụ công phục vụ quản lý nhà nước về chất lượng, an toàn thực phẩm nông lâm thủy sản.</w:t>
      </w:r>
    </w:p>
    <w:p w14:paraId="10F1AB28"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 Tố chức dịch vụ, tư vấn, tập huấn chuyên môn nghiệp vụ về chất lượng vật tư nông nghiệp, an toàn thực phẩm nông lâm thủy sản theo yêu cầu của tố chức, cá nhân.</w:t>
      </w:r>
    </w:p>
    <w:p w14:paraId="223FD91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E33D80">
        <w:rPr>
          <w:rFonts w:asciiTheme="majorHAnsi" w:eastAsia="Times New Roman" w:hAnsiTheme="majorHAnsi" w:cstheme="majorHAnsi"/>
          <w:color w:val="000000"/>
          <w:spacing w:val="-4"/>
          <w:kern w:val="0"/>
          <w:szCs w:val="28"/>
          <w:lang w:eastAsia="vi-VN"/>
          <w14:ligatures w14:val="none"/>
        </w:rPr>
        <w:t>(3) Lấy mẫu kiểm nghiệm an toàn thực phẩm theo yêu cầu của tổ chức, cá nhân.</w:t>
      </w:r>
    </w:p>
    <w:p w14:paraId="06787D6F"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(4) Phối hợp kiểm tra, thẩm định, với cơ quan có thẩm quyền cấp giấy chứng nhận an toàn thực phẩm nông lâm thuỷ sản trên địa bàn.</w:t>
      </w:r>
    </w:p>
    <w:p w14:paraId="5770CDA2"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(5) Cảnh bảo nguy cơ, truy xuất nguồn gốc sản phẩm nông lâm thuỷ sản trên địa vàn khi đã được cơ quan có thẩm quyền phê duyệt.</w:t>
      </w:r>
    </w:p>
    <w:p w14:paraId="1D8DB68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(6) Thực hiện điều tra, thống kê, lưu trữ cơ sở dữ liệu có hệ thống các cơ sở sản xuất, kinh doanh nông lâm thuỷ sản và vật tư nông nghiệp trên địa bàn.</w:t>
      </w:r>
    </w:p>
    <w:p w14:paraId="60A09B2E"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lastRenderedPageBreak/>
        <w:t>(7) Thực hiện các nhiệm vụ phục vụ công tác quản lý nhà nước lĩnh vực Quản lý chất lượng nông lâm thủy sản theo phân công, ủy quyền của Chi cục Phát triển nông thôn theo quy định.</w:t>
      </w:r>
    </w:p>
    <w:p w14:paraId="0C6E25C1"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3. Cơ cấu tổ chức</w:t>
      </w:r>
    </w:p>
    <w:p w14:paraId="23359C60" w14:textId="78AB221E" w:rsidR="006A3F90" w:rsidRPr="008C6E5E" w:rsidRDefault="00E33D80" w:rsidP="008C6E5E">
      <w:pPr>
        <w:spacing w:before="120" w:after="0" w:line="240" w:lineRule="auto"/>
        <w:ind w:firstLine="720"/>
        <w:rPr>
          <w:rFonts w:asciiTheme="majorHAnsi" w:eastAsia="Times New Roman" w:hAnsiTheme="majorHAnsi" w:cstheme="majorHAnsi"/>
          <w:kern w:val="0"/>
          <w:szCs w:val="28"/>
          <w:lang w:eastAsia="vi-VN"/>
          <w14:ligatures w14:val="none"/>
        </w:rPr>
      </w:pPr>
      <w:r w:rsidRPr="008C6E5E">
        <w:rPr>
          <w:rFonts w:asciiTheme="majorHAnsi" w:eastAsia="Times New Roman" w:hAnsiTheme="majorHAnsi" w:cstheme="majorHAnsi"/>
          <w:color w:val="000000"/>
          <w:kern w:val="0"/>
          <w:szCs w:val="28"/>
          <w:lang w:eastAsia="vi-VN"/>
          <w14:ligatures w14:val="none"/>
        </w:rPr>
        <w:t>a) Lãnh đạo Trung tâm gồm: Giám đốc và không quá 02 Phó Giám đốc.</w:t>
      </w:r>
      <w:r w:rsidRPr="008C6E5E">
        <w:rPr>
          <w:rFonts w:asciiTheme="majorHAnsi" w:eastAsia="Times New Roman" w:hAnsiTheme="majorHAnsi" w:cstheme="majorHAnsi"/>
          <w:kern w:val="0"/>
          <w:szCs w:val="28"/>
          <w:lang w:eastAsia="vi-VN"/>
          <w14:ligatures w14:val="none"/>
        </w:rPr>
        <w:t xml:space="preserve"> </w:t>
      </w:r>
    </w:p>
    <w:p w14:paraId="2FF93044"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b) Các phòng, trại thuộc Trung tâm</w:t>
      </w:r>
    </w:p>
    <w:p w14:paraId="05BD7AFF"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Các phòng chuyên môn, nghiệp vụ</w:t>
      </w:r>
    </w:p>
    <w:p w14:paraId="51243764"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Phòng Hành chính - Kế hoạch - Thông tin.</w:t>
      </w:r>
    </w:p>
    <w:p w14:paraId="756DDE5A"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Phòng Kỹ thuật - Chuyển giao.</w:t>
      </w:r>
    </w:p>
    <w:p w14:paraId="12F81989"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Phòng Tư vấn - Phát triển Giống nông nghiệp.</w:t>
      </w:r>
    </w:p>
    <w:p w14:paraId="52F8538B"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Các trại thực hiện nhiệm vụ chuyên môn của Trung tâm gồm: Trại giống Mường Hồng, Trại giống Phù Yên, Trại giống cá tầm và thủy sản khác.</w:t>
      </w:r>
    </w:p>
    <w:p w14:paraId="1BA9CCDF"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xml:space="preserve">c) Các Trạm trực thuộc Trung tâm (12 trạm): là đơn vị trực thuộc Trung tâm </w:t>
      </w:r>
      <w:r w:rsidRPr="00E33D80">
        <w:rPr>
          <w:rFonts w:asciiTheme="majorHAnsi" w:eastAsia="Times New Roman" w:hAnsiTheme="majorHAnsi" w:cstheme="majorHAnsi"/>
          <w:color w:val="000000"/>
          <w:spacing w:val="-4"/>
          <w:kern w:val="0"/>
          <w:szCs w:val="28"/>
          <w:lang w:eastAsia="vi-VN"/>
          <w14:ligatures w14:val="none"/>
        </w:rPr>
        <w:t>Kỹ thuật nông nghiệp thực hiện các hoạt động sự nghiệp về khuyến nông, lâm, ngư nghiệp, chăn nuôi, thú y, trồng trọt và bảo vệ thực vật, chất lượng nông lâm thủy sản trên địa bàn theo quy định của pháp luật; trạm có tư cách pháp nhân, có con dấu và hạch toán phụ thuộc; chịu sự chỉ đạo, quản lý của Trung tâm Kỹ thuật nông nghiệp, đồng thời chịu sự chỉ đạo, hướng dẫn, kiểm tra về chuyên môn, nghiệp vụ của các Chi cục: Trồng trọt và Bảo vệ thực vật, Chăn nuôi, Thú ý và Thủy sản, Phát triển nông thôn.</w:t>
      </w:r>
    </w:p>
    <w:p w14:paraId="5C254487"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(1) Trạm Kỹ thuật nông nghiệp khu vực I được tổ chức lại trên cơ sở quy mô, diện tích quản lý của 04 xã: xã Quỳnh Nhai, xã Mường Chiên, xã Mường Giôn, xã Mường Sại.</w:t>
      </w:r>
    </w:p>
    <w:p w14:paraId="1CC2CDC1"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(2) Trạm Kỹ thuật nông nghiệp khu vực II được tổ chức lại lại trên cơ sở quy mô, diện tích quản lý của 05 xã: xã Mường La, xã Chiềng Lao, xã Mường Bú, xã Chiềng Hoa, xã Ngọc Chiến.</w:t>
      </w:r>
    </w:p>
    <w:p w14:paraId="785C2F5D"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 xml:space="preserve">(3) Trạm Kỹ thuật nông nghiệp khu vực III được tổ chức lại lại trên cơ sở quy </w:t>
      </w:r>
      <w:r w:rsidRPr="00E33D80">
        <w:rPr>
          <w:rFonts w:asciiTheme="majorHAnsi" w:eastAsia="Times New Roman" w:hAnsiTheme="majorHAnsi" w:cstheme="majorHAnsi"/>
          <w:color w:val="000000"/>
          <w:spacing w:val="-4"/>
          <w:kern w:val="0"/>
          <w:szCs w:val="28"/>
          <w:lang w:eastAsia="vi-VN"/>
          <w14:ligatures w14:val="none"/>
        </w:rPr>
        <w:t xml:space="preserve">mô, diện tích quản lý của 09 xã: xã Thuận Châu, xã Chiềng La, xã Nậm Lầu, xã Mường </w:t>
      </w:r>
      <w:r w:rsidRPr="00E33D80">
        <w:rPr>
          <w:rFonts w:asciiTheme="majorHAnsi" w:eastAsia="Times New Roman" w:hAnsiTheme="majorHAnsi" w:cstheme="majorHAnsi"/>
          <w:color w:val="000000"/>
          <w:kern w:val="0"/>
          <w:szCs w:val="28"/>
          <w:lang w:eastAsia="vi-VN"/>
          <w14:ligatures w14:val="none"/>
        </w:rPr>
        <w:t>Khiêng, xã Co Mạ, xã Bình Thuận, xã Mường É, xã Long Hẹ, xã Mường Bám.</w:t>
      </w:r>
    </w:p>
    <w:p w14:paraId="03920337"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spacing w:val="-4"/>
          <w:kern w:val="0"/>
          <w:szCs w:val="28"/>
          <w:lang w:eastAsia="vi-VN"/>
          <w14:ligatures w14:val="none"/>
        </w:rPr>
        <w:t>(4) Trạm Kỹ thuật nông nghiệp khu vực IV được tổ chức lại trên cơ sở quy mô,</w:t>
      </w:r>
      <w:r w:rsidRPr="00E33D80">
        <w:rPr>
          <w:rFonts w:asciiTheme="majorHAnsi" w:eastAsia="Times New Roman" w:hAnsiTheme="majorHAnsi" w:cstheme="majorHAnsi"/>
          <w:color w:val="000000"/>
          <w:kern w:val="0"/>
          <w:szCs w:val="28"/>
          <w:lang w:eastAsia="vi-VN"/>
          <w14:ligatures w14:val="none"/>
        </w:rPr>
        <w:t xml:space="preserve"> diện tích của 06 xã: xã Bắc Yên, xã Tà Xùa, xã Tạ Khoa, xã Xím Vàng, xã Pắc Ngà, xã Chiềng Sại.</w:t>
      </w:r>
    </w:p>
    <w:p w14:paraId="13921559"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(5) Trạm Kỹ thuật nông nghiệp khu vực V được tổ chức lại trên cơ sở quy mô, diện tích của 09 xã: xã Phù Yên, xã Gia Phù, xã Tường Hạ, xã Mường Cơi, xã Mường Bang, xã Tân Phong, xã Kim Bon, xã Suối Tọ, xã Tân Yên.</w:t>
      </w:r>
    </w:p>
    <w:p w14:paraId="6649ABEE"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t>(6) Trạm Kỹ thuật nông nghiệp khu vực VI được tổ chức lại trên cơ sở quy mô, diện tích của 07 xã: xã Chiềng Mai, xã Mai Sơn, xã Phiêng Pằn, xã Phiêng Cằm, xã Mường Chanh, xã Tà Hộc, xã Chiềng Sung.</w:t>
      </w:r>
    </w:p>
    <w:p w14:paraId="3355B6EF" w14:textId="77777777" w:rsidR="00E33D80" w:rsidRPr="00E33D80"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E33D80">
        <w:rPr>
          <w:rFonts w:asciiTheme="majorHAnsi" w:eastAsia="Times New Roman" w:hAnsiTheme="majorHAnsi" w:cstheme="majorHAnsi"/>
          <w:color w:val="000000"/>
          <w:kern w:val="0"/>
          <w:szCs w:val="28"/>
          <w:lang w:eastAsia="vi-VN"/>
          <w14:ligatures w14:val="none"/>
        </w:rPr>
        <w:lastRenderedPageBreak/>
        <w:t>(7) Trạm Kỹ thuật nông nghiệp khu vực VII được tổ chức lại trên cơ sở quy mô, diện tích của 10 xã: xã Bó Sinh, xã Chiềng Khương, xã Mường Hung, xã Chiềng Khoong, xã Mường Lầm, xã Nậm Ty, xã Sông Mã, xã Huổi Một, xã Chiềng Sơ, xã Mường Lạn.</w:t>
      </w:r>
    </w:p>
    <w:p w14:paraId="639C6344" w14:textId="77777777" w:rsidR="00B159D4" w:rsidRPr="008C6E5E" w:rsidRDefault="00E33D80"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8C6E5E">
        <w:rPr>
          <w:rFonts w:asciiTheme="majorHAnsi" w:eastAsia="Times New Roman" w:hAnsiTheme="majorHAnsi" w:cstheme="majorHAnsi"/>
          <w:color w:val="000000"/>
          <w:kern w:val="0"/>
          <w:szCs w:val="28"/>
          <w:lang w:eastAsia="vi-VN"/>
          <w14:ligatures w14:val="none"/>
        </w:rPr>
        <w:t>(8) Trạm Kỹ thuật nông nghiệp khu vực VIII được tổ chức lại trên cơ sở quy mô, diện tích của 5 xã: xã Yên Châu, xã Chiềng Hặc, xã Lóng Phiêng, xã</w:t>
      </w:r>
      <w:r w:rsidRPr="008C6E5E">
        <w:rPr>
          <w:rFonts w:asciiTheme="majorHAnsi" w:eastAsia="Times New Roman" w:hAnsiTheme="majorHAnsi" w:cstheme="majorHAnsi"/>
          <w:kern w:val="0"/>
          <w:szCs w:val="28"/>
          <w:lang w:eastAsia="vi-VN"/>
          <w14:ligatures w14:val="none"/>
        </w:rPr>
        <w:t xml:space="preserve"> </w:t>
      </w:r>
      <w:r w:rsidR="00B159D4" w:rsidRPr="008C6E5E">
        <w:rPr>
          <w:rFonts w:asciiTheme="majorHAnsi" w:eastAsia="Times New Roman" w:hAnsiTheme="majorHAnsi" w:cstheme="majorHAnsi"/>
          <w:color w:val="000000"/>
          <w:kern w:val="0"/>
          <w:szCs w:val="28"/>
          <w:lang w:eastAsia="vi-VN"/>
          <w14:ligatures w14:val="none"/>
        </w:rPr>
        <w:t>Yên Sơn, xã Phiêng Khoài.</w:t>
      </w:r>
    </w:p>
    <w:p w14:paraId="01991ED8"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(9) Trạm Kỹ thuật nông nghiệp khu vực IX được tổ chức lại trên cơ sở quy mô, diện tích của 03 xã: xã Đoàn Kết, xã Lóng Sập, xã Chiềng Sơn; và 04 phường: phường Mộc Châu, phường Mộc Sơn, phường Vân Sơn, phường Thảo Nguyên.</w:t>
      </w:r>
    </w:p>
    <w:p w14:paraId="6A40F099"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(10) Trạm Kỹ thuật nông nghiệp khu vực X được tổ chức lại trên cơ sở quy mô, diện tích của 04 xã: xã Vân hồ, xã Song Khủa, xã Tô Múa, Xã Xuân Nha.</w:t>
      </w:r>
    </w:p>
    <w:p w14:paraId="585B1D43"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(11) Trạm Kỹ thuật nông nghiệp khu vực XI được tổ chức lại trên cơ sở quy mô, diện tích 03 xã: xã Sốp Cộp, xã Púng Bánh, xã Mường Lèo.</w:t>
      </w:r>
    </w:p>
    <w:p w14:paraId="3A7E6610"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(12) Trạm Kỹ thuật nông nghiệp khu vực XII được tổ chức lại trên cơ sở quy mô, diện tích quản lý của 04 phường, 02 xã: Phường Tô Hiệu, phường Chiềng An, phường Chiềng Cơi, phường Chiềng Sinh, xã Muổi Nọi, xã Chiềng Mung.</w:t>
      </w:r>
    </w:p>
    <w:p w14:paraId="1E1E3BAC"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4. Số lượng người làm việc</w:t>
      </w:r>
    </w:p>
    <w:p w14:paraId="08E3F062"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a) Trung tâm Kỹ thuật nông nghiệp căn cứ các quy định của pháp luật xây dựng Đề án xác định vị trí việc làm; số lượng người làm việc thuộc thẩm quyền theo phân cấp quản lý quy định hiện hành.</w:t>
      </w:r>
    </w:p>
    <w:p w14:paraId="2B898A3D" w14:textId="77777777"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color w:val="000000"/>
          <w:kern w:val="0"/>
          <w:szCs w:val="28"/>
          <w:lang w:eastAsia="vi-VN"/>
          <w14:ligatures w14:val="none"/>
        </w:rPr>
        <w:t>b) Số lượng cấp phó các phòng chuyên môn và tương đương thuộc Trung tâm Kỹ thuật nông nghiệp thực hiện theo Nghị định số 120/2020/NĐ-CP ngày 07 tháng 10 năm 2020 của Chính phủ; Nghị định số 83/2024/NĐ-CP ngày 10 tháng 7 năm 2024 của Chính phủ.</w:t>
      </w:r>
    </w:p>
    <w:p w14:paraId="56890732" w14:textId="41A8825A" w:rsidR="00B159D4" w:rsidRPr="00B159D4"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159D4">
        <w:rPr>
          <w:rFonts w:asciiTheme="majorHAnsi" w:eastAsia="Times New Roman" w:hAnsiTheme="majorHAnsi" w:cstheme="majorHAnsi"/>
          <w:b/>
          <w:bCs/>
          <w:color w:val="000000"/>
          <w:kern w:val="0"/>
          <w:szCs w:val="28"/>
          <w:lang w:eastAsia="vi-VN"/>
          <w14:ligatures w14:val="none"/>
        </w:rPr>
        <w:t xml:space="preserve">Điều 3. </w:t>
      </w:r>
      <w:r w:rsidRPr="00B159D4">
        <w:rPr>
          <w:rFonts w:asciiTheme="majorHAnsi" w:eastAsia="Times New Roman" w:hAnsiTheme="majorHAnsi" w:cstheme="majorHAnsi"/>
          <w:color w:val="000000"/>
          <w:kern w:val="0"/>
          <w:szCs w:val="28"/>
          <w:lang w:eastAsia="vi-VN"/>
          <w14:ligatures w14:val="none"/>
        </w:rPr>
        <w:t xml:space="preserve">Chánh Văn phòng </w:t>
      </w:r>
      <w:r w:rsidR="00EE2D90">
        <w:rPr>
          <w:rFonts w:asciiTheme="majorHAnsi" w:eastAsia="Times New Roman" w:hAnsiTheme="majorHAnsi" w:cstheme="majorHAnsi"/>
          <w:color w:val="000000"/>
          <w:kern w:val="0"/>
          <w:szCs w:val="28"/>
          <w:lang w:val="en-US" w:eastAsia="vi-VN"/>
          <w14:ligatures w14:val="none"/>
        </w:rPr>
        <w:t>UBND</w:t>
      </w:r>
      <w:r w:rsidRPr="00B159D4">
        <w:rPr>
          <w:rFonts w:asciiTheme="majorHAnsi" w:eastAsia="Times New Roman" w:hAnsiTheme="majorHAnsi" w:cstheme="majorHAnsi"/>
          <w:color w:val="000000"/>
          <w:kern w:val="0"/>
          <w:szCs w:val="28"/>
          <w:lang w:eastAsia="vi-VN"/>
          <w14:ligatures w14:val="none"/>
        </w:rPr>
        <w:t xml:space="preserve"> tỉnh; Giám đốc các </w:t>
      </w:r>
      <w:r w:rsidR="00EE2D90">
        <w:rPr>
          <w:rFonts w:asciiTheme="majorHAnsi" w:eastAsia="Times New Roman" w:hAnsiTheme="majorHAnsi" w:cstheme="majorHAnsi"/>
          <w:color w:val="000000"/>
          <w:kern w:val="0"/>
          <w:szCs w:val="28"/>
          <w:lang w:val="en-US" w:eastAsia="vi-VN"/>
          <w14:ligatures w14:val="none"/>
        </w:rPr>
        <w:t>s</w:t>
      </w:r>
      <w:r w:rsidRPr="00B159D4">
        <w:rPr>
          <w:rFonts w:asciiTheme="majorHAnsi" w:eastAsia="Times New Roman" w:hAnsiTheme="majorHAnsi" w:cstheme="majorHAnsi"/>
          <w:color w:val="000000"/>
          <w:kern w:val="0"/>
          <w:szCs w:val="28"/>
          <w:lang w:eastAsia="vi-VN"/>
          <w14:ligatures w14:val="none"/>
        </w:rPr>
        <w:t xml:space="preserve">ở: Nội vụ, Tài chính, Nông nghiệp và Môi trường; Giám đốc Trung tâm Kỹ thuật nông nghiệp; Thủ trưởng các cơ quan, đơn vị có liên quan; Chủ tịch </w:t>
      </w:r>
      <w:r w:rsidR="00EE2D90">
        <w:rPr>
          <w:rFonts w:asciiTheme="majorHAnsi" w:eastAsia="Times New Roman" w:hAnsiTheme="majorHAnsi" w:cstheme="majorHAnsi"/>
          <w:color w:val="000000"/>
          <w:kern w:val="0"/>
          <w:szCs w:val="28"/>
          <w:lang w:val="en-US" w:eastAsia="vi-VN"/>
          <w14:ligatures w14:val="none"/>
        </w:rPr>
        <w:t>UBND</w:t>
      </w:r>
      <w:r w:rsidRPr="00B159D4">
        <w:rPr>
          <w:rFonts w:asciiTheme="majorHAnsi" w:eastAsia="Times New Roman" w:hAnsiTheme="majorHAnsi" w:cstheme="majorHAnsi"/>
          <w:color w:val="000000"/>
          <w:kern w:val="0"/>
          <w:szCs w:val="28"/>
          <w:lang w:eastAsia="vi-VN"/>
          <w14:ligatures w14:val="none"/>
        </w:rPr>
        <w:t xml:space="preserve"> các xã, phường chịu trách nhiệm thi hành Quyết định này.</w:t>
      </w:r>
    </w:p>
    <w:p w14:paraId="7F69D8D8" w14:textId="4C9CAD86" w:rsidR="00E33D80" w:rsidRPr="008C6E5E" w:rsidRDefault="00B159D4" w:rsidP="008C6E5E">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8C6E5E">
        <w:rPr>
          <w:rFonts w:asciiTheme="majorHAnsi" w:eastAsia="Times New Roman" w:hAnsiTheme="majorHAnsi" w:cstheme="majorHAnsi"/>
          <w:color w:val="000000"/>
          <w:kern w:val="0"/>
          <w:szCs w:val="28"/>
          <w:lang w:eastAsia="vi-VN"/>
          <w14:ligatures w14:val="none"/>
        </w:rPr>
        <w:t xml:space="preserve">Quyết định này có hiệu lực kể từ ngày 01 tháng 7 năm 2025 và bãi bỏ các Quyết định, quy định trước trái với </w:t>
      </w:r>
      <w:r w:rsidR="00EE2D90">
        <w:rPr>
          <w:rFonts w:asciiTheme="majorHAnsi" w:eastAsia="Times New Roman" w:hAnsiTheme="majorHAnsi" w:cstheme="majorHAnsi"/>
          <w:color w:val="000000"/>
          <w:kern w:val="0"/>
          <w:szCs w:val="28"/>
          <w:lang w:val="en-US" w:eastAsia="vi-VN"/>
          <w14:ligatures w14:val="none"/>
        </w:rPr>
        <w:t>Q</w:t>
      </w:r>
      <w:r w:rsidRPr="008C6E5E">
        <w:rPr>
          <w:rFonts w:asciiTheme="majorHAnsi" w:eastAsia="Times New Roman" w:hAnsiTheme="majorHAnsi" w:cstheme="majorHAnsi"/>
          <w:color w:val="000000"/>
          <w:kern w:val="0"/>
          <w:szCs w:val="28"/>
          <w:lang w:eastAsia="vi-VN"/>
          <w14:ligatures w14:val="none"/>
        </w:rPr>
        <w:t>uyết định này./</w:t>
      </w:r>
      <w:r w:rsidRPr="008C6E5E">
        <w:rPr>
          <w:rFonts w:asciiTheme="majorHAnsi" w:eastAsia="Times New Roman" w:hAnsiTheme="majorHAnsi" w:cstheme="majorHAnsi"/>
          <w:kern w:val="0"/>
          <w:szCs w:val="28"/>
          <w:lang w:eastAsia="vi-VN"/>
          <w14:ligatures w14:val="none"/>
        </w:rPr>
        <w:t xml:space="preserve"> </w:t>
      </w:r>
    </w:p>
    <w:p w14:paraId="117E0865" w14:textId="77777777" w:rsidR="00B159D4" w:rsidRPr="00B159D4" w:rsidRDefault="00B159D4" w:rsidP="00B159D4">
      <w:pPr>
        <w:tabs>
          <w:tab w:val="left" w:pos="2450"/>
        </w:tabs>
      </w:pPr>
      <w:r>
        <w:tab/>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529"/>
      </w:tblGrid>
      <w:tr w:rsidR="00B159D4" w:rsidRPr="00B159D4" w14:paraId="2F0C2B80" w14:textId="77777777" w:rsidTr="00997270">
        <w:trPr>
          <w:trHeight w:val="1464"/>
        </w:trPr>
        <w:tc>
          <w:tcPr>
            <w:tcW w:w="3969" w:type="dxa"/>
          </w:tcPr>
          <w:p w14:paraId="2B14CE34" w14:textId="77777777" w:rsidR="00B159D4" w:rsidRPr="00B159D4" w:rsidRDefault="00B159D4" w:rsidP="00B159D4">
            <w:pPr>
              <w:jc w:val="left"/>
              <w:rPr>
                <w:rFonts w:asciiTheme="majorHAnsi" w:eastAsia="Times New Roman" w:hAnsiTheme="majorHAnsi" w:cstheme="majorHAnsi"/>
                <w:kern w:val="0"/>
                <w:sz w:val="26"/>
                <w:szCs w:val="20"/>
                <w:lang w:val="en-US"/>
                <w14:ligatures w14:val="none"/>
              </w:rPr>
            </w:pPr>
          </w:p>
        </w:tc>
        <w:tc>
          <w:tcPr>
            <w:tcW w:w="5529" w:type="dxa"/>
          </w:tcPr>
          <w:p w14:paraId="58376D9E" w14:textId="77777777" w:rsidR="00B159D4" w:rsidRPr="00B159D4" w:rsidRDefault="00B159D4" w:rsidP="00B159D4">
            <w:pPr>
              <w:tabs>
                <w:tab w:val="left" w:pos="720"/>
                <w:tab w:val="left" w:pos="851"/>
              </w:tabs>
              <w:jc w:val="center"/>
              <w:rPr>
                <w:rFonts w:asciiTheme="majorHAnsi" w:eastAsia="Times New Roman" w:hAnsiTheme="majorHAnsi" w:cstheme="majorHAnsi"/>
                <w:b/>
                <w:color w:val="000000"/>
                <w:spacing w:val="2"/>
                <w:kern w:val="0"/>
                <w:sz w:val="26"/>
                <w:szCs w:val="26"/>
                <w:lang w:val="en-US"/>
                <w14:ligatures w14:val="none"/>
              </w:rPr>
            </w:pPr>
            <w:r w:rsidRPr="00B159D4">
              <w:rPr>
                <w:rFonts w:asciiTheme="majorHAnsi" w:eastAsia="Times New Roman" w:hAnsiTheme="majorHAnsi" w:cstheme="majorHAnsi"/>
                <w:b/>
                <w:color w:val="000000"/>
                <w:spacing w:val="2"/>
                <w:kern w:val="0"/>
                <w:sz w:val="26"/>
                <w:szCs w:val="26"/>
                <w:lang w:val="en-US"/>
                <w14:ligatures w14:val="none"/>
              </w:rPr>
              <w:t>TM. UỶ BAN NHÂN DÂN</w:t>
            </w:r>
          </w:p>
          <w:p w14:paraId="6175203C" w14:textId="768A16AC" w:rsidR="00B159D4" w:rsidRPr="00B159D4" w:rsidRDefault="00B159D4" w:rsidP="00B159D4">
            <w:pPr>
              <w:tabs>
                <w:tab w:val="left" w:pos="720"/>
                <w:tab w:val="left" w:pos="851"/>
              </w:tabs>
              <w:jc w:val="center"/>
              <w:rPr>
                <w:rFonts w:asciiTheme="majorHAnsi" w:eastAsia="Times New Roman" w:hAnsiTheme="majorHAnsi" w:cstheme="majorHAnsi"/>
                <w:b/>
                <w:color w:val="000000"/>
                <w:spacing w:val="2"/>
                <w:kern w:val="0"/>
                <w:sz w:val="26"/>
                <w:szCs w:val="26"/>
                <w:lang w:val="en-US"/>
                <w14:ligatures w14:val="none"/>
              </w:rPr>
            </w:pPr>
            <w:r>
              <w:rPr>
                <w:rFonts w:asciiTheme="majorHAnsi" w:eastAsia="Times New Roman" w:hAnsiTheme="majorHAnsi" w:cstheme="majorHAnsi"/>
                <w:b/>
                <w:color w:val="000000"/>
                <w:spacing w:val="2"/>
                <w:kern w:val="0"/>
                <w:sz w:val="26"/>
                <w:szCs w:val="26"/>
                <w:lang w:val="en-US"/>
                <w14:ligatures w14:val="none"/>
              </w:rPr>
              <w:t xml:space="preserve"> </w:t>
            </w:r>
            <w:r w:rsidRPr="00B159D4">
              <w:rPr>
                <w:rFonts w:asciiTheme="majorHAnsi" w:eastAsia="Times New Roman" w:hAnsiTheme="majorHAnsi" w:cstheme="majorHAnsi"/>
                <w:b/>
                <w:color w:val="000000"/>
                <w:spacing w:val="2"/>
                <w:kern w:val="0"/>
                <w:sz w:val="26"/>
                <w:szCs w:val="26"/>
                <w:lang w:val="en-US"/>
                <w14:ligatures w14:val="none"/>
              </w:rPr>
              <w:t xml:space="preserve"> CHỦ TỊCH</w:t>
            </w:r>
          </w:p>
          <w:p w14:paraId="656295D4" w14:textId="166540F8" w:rsidR="00B159D4" w:rsidRPr="00B159D4" w:rsidRDefault="00B159D4" w:rsidP="00B159D4">
            <w:pPr>
              <w:tabs>
                <w:tab w:val="left" w:pos="720"/>
                <w:tab w:val="left" w:pos="851"/>
              </w:tabs>
              <w:jc w:val="center"/>
              <w:rPr>
                <w:rFonts w:asciiTheme="majorHAnsi" w:eastAsia="Times New Roman" w:hAnsiTheme="majorHAnsi" w:cstheme="majorHAnsi"/>
                <w:color w:val="000000"/>
                <w:spacing w:val="2"/>
                <w:kern w:val="0"/>
                <w:sz w:val="26"/>
                <w:szCs w:val="26"/>
                <w:lang w:val="en-US"/>
                <w14:ligatures w14:val="none"/>
              </w:rPr>
            </w:pPr>
            <w:r>
              <w:rPr>
                <w:rFonts w:asciiTheme="majorHAnsi" w:eastAsia="Times New Roman" w:hAnsiTheme="majorHAnsi" w:cstheme="majorHAnsi"/>
                <w:b/>
                <w:color w:val="000000"/>
                <w:spacing w:val="2"/>
                <w:kern w:val="0"/>
                <w:sz w:val="26"/>
                <w:szCs w:val="26"/>
                <w:lang w:val="en-US"/>
                <w14:ligatures w14:val="none"/>
              </w:rPr>
              <w:t xml:space="preserve"> </w:t>
            </w:r>
          </w:p>
          <w:p w14:paraId="121AE5C6" w14:textId="77777777" w:rsidR="00B159D4" w:rsidRPr="00B159D4" w:rsidRDefault="00B159D4" w:rsidP="00B159D4">
            <w:pPr>
              <w:tabs>
                <w:tab w:val="left" w:pos="426"/>
              </w:tabs>
              <w:jc w:val="center"/>
              <w:rPr>
                <w:rFonts w:asciiTheme="majorHAnsi" w:eastAsia="Times New Roman" w:hAnsiTheme="majorHAnsi" w:cstheme="majorHAnsi"/>
                <w:i/>
                <w:color w:val="000000"/>
                <w:spacing w:val="2"/>
                <w:kern w:val="0"/>
                <w:szCs w:val="28"/>
                <w:lang w:val="en-US"/>
                <w14:ligatures w14:val="none"/>
              </w:rPr>
            </w:pPr>
          </w:p>
          <w:p w14:paraId="2CED84CB" w14:textId="056AB41D" w:rsidR="00B159D4" w:rsidRPr="00B159D4" w:rsidRDefault="00B159D4" w:rsidP="00B159D4">
            <w:pPr>
              <w:tabs>
                <w:tab w:val="left" w:pos="720"/>
                <w:tab w:val="left" w:pos="851"/>
              </w:tabs>
              <w:jc w:val="center"/>
              <w:rPr>
                <w:rFonts w:asciiTheme="majorHAnsi" w:eastAsia="Times New Roman" w:hAnsiTheme="majorHAnsi" w:cstheme="majorHAnsi"/>
                <w:kern w:val="0"/>
                <w:sz w:val="26"/>
                <w:szCs w:val="20"/>
                <w:lang w:val="en-US"/>
                <w14:ligatures w14:val="none"/>
              </w:rPr>
            </w:pPr>
            <w:r>
              <w:rPr>
                <w:rFonts w:asciiTheme="majorHAnsi" w:eastAsia="Times New Roman" w:hAnsiTheme="majorHAnsi" w:cstheme="majorHAnsi"/>
                <w:b/>
                <w:color w:val="000000"/>
                <w:spacing w:val="2"/>
                <w:kern w:val="0"/>
                <w:szCs w:val="28"/>
                <w:lang w:val="en-US"/>
                <w14:ligatures w14:val="none"/>
              </w:rPr>
              <w:t>Nguyễn Đình Việt</w:t>
            </w:r>
          </w:p>
        </w:tc>
      </w:tr>
    </w:tbl>
    <w:p w14:paraId="00ED997B" w14:textId="77777777" w:rsidR="00B159D4" w:rsidRPr="00B159D4" w:rsidRDefault="00B159D4" w:rsidP="00B159D4">
      <w:pPr>
        <w:spacing w:after="0" w:line="240" w:lineRule="auto"/>
        <w:jc w:val="left"/>
        <w:rPr>
          <w:rFonts w:asciiTheme="majorHAnsi" w:eastAsia="Times New Roman" w:hAnsiTheme="majorHAnsi" w:cstheme="majorHAnsi"/>
          <w:kern w:val="0"/>
          <w:szCs w:val="28"/>
          <w:lang w:val="en-US"/>
          <w14:ligatures w14:val="none"/>
        </w:rPr>
      </w:pPr>
    </w:p>
    <w:p w14:paraId="33B84947" w14:textId="0E594378" w:rsidR="00B159D4" w:rsidRPr="00B159D4" w:rsidRDefault="00B159D4" w:rsidP="00B159D4">
      <w:pPr>
        <w:tabs>
          <w:tab w:val="left" w:pos="2450"/>
        </w:tabs>
      </w:pPr>
    </w:p>
    <w:sectPr w:rsidR="00B159D4" w:rsidRPr="00B159D4" w:rsidSect="008C6E5E">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BE"/>
    <w:rsid w:val="00171A2F"/>
    <w:rsid w:val="00356C31"/>
    <w:rsid w:val="004308BD"/>
    <w:rsid w:val="004348C1"/>
    <w:rsid w:val="005178BE"/>
    <w:rsid w:val="00585118"/>
    <w:rsid w:val="005F543F"/>
    <w:rsid w:val="00607A76"/>
    <w:rsid w:val="00650FCF"/>
    <w:rsid w:val="006A3F90"/>
    <w:rsid w:val="00821106"/>
    <w:rsid w:val="00876F54"/>
    <w:rsid w:val="00883B2F"/>
    <w:rsid w:val="008C0F6D"/>
    <w:rsid w:val="008C6E5E"/>
    <w:rsid w:val="00947796"/>
    <w:rsid w:val="00AE02F2"/>
    <w:rsid w:val="00B159D4"/>
    <w:rsid w:val="00B304E2"/>
    <w:rsid w:val="00B95F56"/>
    <w:rsid w:val="00C311F3"/>
    <w:rsid w:val="00C9077D"/>
    <w:rsid w:val="00DF50E8"/>
    <w:rsid w:val="00E20CC2"/>
    <w:rsid w:val="00E33D80"/>
    <w:rsid w:val="00EE2D9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CDB1"/>
  <w15:chartTrackingRefBased/>
  <w15:docId w15:val="{8FC42416-CBA1-4BF2-BDDB-FA234334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5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66215">
      <w:bodyDiv w:val="1"/>
      <w:marLeft w:val="0"/>
      <w:marRight w:val="0"/>
      <w:marTop w:val="0"/>
      <w:marBottom w:val="0"/>
      <w:divBdr>
        <w:top w:val="none" w:sz="0" w:space="0" w:color="auto"/>
        <w:left w:val="none" w:sz="0" w:space="0" w:color="auto"/>
        <w:bottom w:val="none" w:sz="0" w:space="0" w:color="auto"/>
        <w:right w:val="none" w:sz="0" w:space="0" w:color="auto"/>
      </w:divBdr>
    </w:div>
    <w:div w:id="801923584">
      <w:bodyDiv w:val="1"/>
      <w:marLeft w:val="0"/>
      <w:marRight w:val="0"/>
      <w:marTop w:val="0"/>
      <w:marBottom w:val="0"/>
      <w:divBdr>
        <w:top w:val="none" w:sz="0" w:space="0" w:color="auto"/>
        <w:left w:val="none" w:sz="0" w:space="0" w:color="auto"/>
        <w:bottom w:val="none" w:sz="0" w:space="0" w:color="auto"/>
        <w:right w:val="none" w:sz="0" w:space="0" w:color="auto"/>
      </w:divBdr>
    </w:div>
    <w:div w:id="1005134386">
      <w:bodyDiv w:val="1"/>
      <w:marLeft w:val="0"/>
      <w:marRight w:val="0"/>
      <w:marTop w:val="0"/>
      <w:marBottom w:val="0"/>
      <w:divBdr>
        <w:top w:val="none" w:sz="0" w:space="0" w:color="auto"/>
        <w:left w:val="none" w:sz="0" w:space="0" w:color="auto"/>
        <w:bottom w:val="none" w:sz="0" w:space="0" w:color="auto"/>
        <w:right w:val="none" w:sz="0" w:space="0" w:color="auto"/>
      </w:divBdr>
    </w:div>
    <w:div w:id="1188324364">
      <w:bodyDiv w:val="1"/>
      <w:marLeft w:val="0"/>
      <w:marRight w:val="0"/>
      <w:marTop w:val="0"/>
      <w:marBottom w:val="0"/>
      <w:divBdr>
        <w:top w:val="none" w:sz="0" w:space="0" w:color="auto"/>
        <w:left w:val="none" w:sz="0" w:space="0" w:color="auto"/>
        <w:bottom w:val="none" w:sz="0" w:space="0" w:color="auto"/>
        <w:right w:val="none" w:sz="0" w:space="0" w:color="auto"/>
      </w:divBdr>
    </w:div>
    <w:div w:id="1223518462">
      <w:bodyDiv w:val="1"/>
      <w:marLeft w:val="0"/>
      <w:marRight w:val="0"/>
      <w:marTop w:val="0"/>
      <w:marBottom w:val="0"/>
      <w:divBdr>
        <w:top w:val="none" w:sz="0" w:space="0" w:color="auto"/>
        <w:left w:val="none" w:sz="0" w:space="0" w:color="auto"/>
        <w:bottom w:val="none" w:sz="0" w:space="0" w:color="auto"/>
        <w:right w:val="none" w:sz="0" w:space="0" w:color="auto"/>
      </w:divBdr>
    </w:div>
    <w:div w:id="1390883789">
      <w:bodyDiv w:val="1"/>
      <w:marLeft w:val="0"/>
      <w:marRight w:val="0"/>
      <w:marTop w:val="0"/>
      <w:marBottom w:val="0"/>
      <w:divBdr>
        <w:top w:val="none" w:sz="0" w:space="0" w:color="auto"/>
        <w:left w:val="none" w:sz="0" w:space="0" w:color="auto"/>
        <w:bottom w:val="none" w:sz="0" w:space="0" w:color="auto"/>
        <w:right w:val="none" w:sz="0" w:space="0" w:color="auto"/>
      </w:divBdr>
    </w:div>
    <w:div w:id="17976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298B8-E1C6-4310-AA44-4B332AAF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1979</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16</cp:revision>
  <dcterms:created xsi:type="dcterms:W3CDTF">2025-07-10T01:49:00Z</dcterms:created>
  <dcterms:modified xsi:type="dcterms:W3CDTF">2025-07-10T02:00:00Z</dcterms:modified>
</cp:coreProperties>
</file>