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A957A4">
            <w:pPr>
              <w:spacing w:after="0" w:line="240" w:lineRule="auto"/>
              <w:jc w:val="center"/>
              <w:rPr>
                <w:rFonts w:eastAsia="Times New Roman"/>
                <w:color w:val="000000"/>
                <w:sz w:val="20"/>
                <w:szCs w:val="26"/>
              </w:rPr>
            </w:pPr>
            <w:bookmarkStart w:id="0"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A957A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A957A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Pr="00A957A4" w:rsidRDefault="00775DD4" w:rsidP="00A957A4">
            <w:pPr>
              <w:spacing w:after="0" w:line="240" w:lineRule="auto"/>
              <w:jc w:val="center"/>
              <w:rPr>
                <w:rFonts w:eastAsia="Times New Roman"/>
                <w:color w:val="000000"/>
                <w:sz w:val="12"/>
                <w:szCs w:val="6"/>
                <w:lang w:val="en-US"/>
              </w:rPr>
            </w:pPr>
          </w:p>
          <w:p w:rsidR="00775DD4" w:rsidRPr="009A485A" w:rsidRDefault="00775DD4" w:rsidP="00A957A4">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71</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A957A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Pr="00A957A4" w:rsidRDefault="005C7615" w:rsidP="00A957A4">
            <w:pPr>
              <w:spacing w:after="0" w:line="240" w:lineRule="auto"/>
              <w:jc w:val="center"/>
              <w:rPr>
                <w:rFonts w:eastAsia="Times New Roman"/>
                <w:i/>
                <w:iCs/>
                <w:color w:val="000000"/>
                <w:sz w:val="12"/>
                <w:szCs w:val="6"/>
                <w:lang w:val="en-US"/>
              </w:rPr>
            </w:pPr>
            <w:r>
              <w:rPr>
                <w:rFonts w:eastAsia="Times New Roman"/>
                <w:i/>
                <w:iCs/>
                <w:color w:val="000000"/>
                <w:sz w:val="12"/>
                <w:szCs w:val="6"/>
                <w:lang w:val="en-US"/>
              </w:rPr>
              <w:t xml:space="preserve"> </w:t>
            </w:r>
          </w:p>
          <w:p w:rsidR="00775DD4" w:rsidRPr="00FB01A6" w:rsidRDefault="00775DD4" w:rsidP="00A957A4">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6A1DBB">
              <w:rPr>
                <w:rFonts w:eastAsia="Times New Roman"/>
                <w:i/>
                <w:iCs/>
                <w:color w:val="000000"/>
                <w:lang w:val="en-US"/>
              </w:rPr>
              <w:t>8</w:t>
            </w:r>
            <w:r>
              <w:rPr>
                <w:rFonts w:eastAsia="Times New Roman"/>
                <w:i/>
                <w:iCs/>
                <w:color w:val="000000"/>
              </w:rPr>
              <w:t xml:space="preserve"> tháng 7 </w:t>
            </w:r>
            <w:r w:rsidRPr="00FB01A6">
              <w:rPr>
                <w:rFonts w:eastAsia="Times New Roman"/>
                <w:i/>
                <w:iCs/>
                <w:color w:val="000000"/>
              </w:rPr>
              <w:t>năm 2025</w:t>
            </w:r>
          </w:p>
        </w:tc>
      </w:tr>
    </w:tbl>
    <w:p w:rsidR="00775DD4" w:rsidRDefault="00775DD4" w:rsidP="00A957A4">
      <w:pPr>
        <w:shd w:val="clear" w:color="auto" w:fill="FFFFFF"/>
        <w:spacing w:after="0" w:line="240" w:lineRule="auto"/>
        <w:jc w:val="center"/>
        <w:rPr>
          <w:rFonts w:eastAsia="Times New Roman"/>
          <w:b/>
          <w:bCs/>
          <w:color w:val="000000"/>
        </w:rPr>
      </w:pPr>
    </w:p>
    <w:bookmarkEnd w:id="0"/>
    <w:p w:rsidR="00C043CD" w:rsidRPr="00C043CD" w:rsidRDefault="00C043CD" w:rsidP="0046792A">
      <w:pPr>
        <w:widowControl w:val="0"/>
        <w:pBdr>
          <w:top w:val="dotted" w:sz="4" w:space="0" w:color="FFFFFF"/>
          <w:left w:val="dotted" w:sz="4" w:space="0" w:color="FFFFFF"/>
          <w:bottom w:val="dotted" w:sz="4" w:space="12" w:color="FFFFFF"/>
          <w:right w:val="dotted" w:sz="4" w:space="0" w:color="FFFFFF"/>
        </w:pBdr>
        <w:shd w:val="clear" w:color="auto" w:fill="FFFFFF"/>
        <w:spacing w:before="40" w:after="0" w:line="240" w:lineRule="auto"/>
        <w:jc w:val="center"/>
        <w:rPr>
          <w:rFonts w:eastAsia="Times New Roman"/>
          <w:b/>
          <w:bCs/>
          <w:color w:val="000000"/>
        </w:rPr>
      </w:pPr>
      <w:r w:rsidRPr="00C043CD">
        <w:rPr>
          <w:rFonts w:eastAsia="Times New Roman"/>
          <w:b/>
          <w:bCs/>
          <w:color w:val="000000"/>
        </w:rPr>
        <w:t>QUYẾT ĐỊNH</w:t>
      </w:r>
    </w:p>
    <w:p w:rsidR="00C043CD" w:rsidRDefault="00C043CD" w:rsidP="0046792A">
      <w:pPr>
        <w:widowControl w:val="0"/>
        <w:pBdr>
          <w:top w:val="dotted" w:sz="4" w:space="0" w:color="FFFFFF"/>
          <w:left w:val="dotted" w:sz="4" w:space="0" w:color="FFFFFF"/>
          <w:bottom w:val="dotted" w:sz="4" w:space="12" w:color="FFFFFF"/>
          <w:right w:val="dotted" w:sz="4" w:space="0" w:color="FFFFFF"/>
        </w:pBdr>
        <w:shd w:val="clear" w:color="auto" w:fill="FFFFFF"/>
        <w:spacing w:before="40" w:after="0" w:line="240" w:lineRule="auto"/>
        <w:jc w:val="center"/>
        <w:rPr>
          <w:rFonts w:eastAsia="Times New Roman"/>
          <w:b/>
          <w:bCs/>
          <w:color w:val="000000"/>
          <w:lang w:val="en-US"/>
        </w:rPr>
      </w:pPr>
      <w:r w:rsidRPr="00C043CD">
        <w:rPr>
          <w:rFonts w:eastAsia="Times New Roman"/>
          <w:b/>
          <w:bCs/>
          <w:color w:val="000000"/>
        </w:rPr>
        <w:t>Quy định chức năng, nhiệm vụ,</w:t>
      </w:r>
      <w:r w:rsidR="0046792A">
        <w:rPr>
          <w:rFonts w:eastAsia="Times New Roman"/>
          <w:b/>
          <w:bCs/>
          <w:color w:val="000000"/>
          <w:lang w:val="en-US"/>
        </w:rPr>
        <w:t xml:space="preserve">                                                                                   </w:t>
      </w:r>
      <w:r w:rsidRPr="00C043CD">
        <w:rPr>
          <w:rFonts w:eastAsia="Times New Roman"/>
          <w:b/>
          <w:bCs/>
          <w:color w:val="000000"/>
        </w:rPr>
        <w:t>quyền hạn và cơ cấu tổ chức của Sở Y tế tỉnh Sơn La</w:t>
      </w:r>
    </w:p>
    <w:p w:rsidR="0046792A" w:rsidRPr="0046792A" w:rsidRDefault="0046792A" w:rsidP="0046792A">
      <w:pPr>
        <w:widowControl w:val="0"/>
        <w:pBdr>
          <w:top w:val="dotted" w:sz="4" w:space="0" w:color="FFFFFF"/>
          <w:left w:val="dotted" w:sz="4" w:space="0" w:color="FFFFFF"/>
          <w:bottom w:val="dotted" w:sz="4" w:space="12" w:color="FFFFFF"/>
          <w:right w:val="dotted" w:sz="4" w:space="0" w:color="FFFFFF"/>
        </w:pBdr>
        <w:shd w:val="clear" w:color="auto" w:fill="FFFFFF"/>
        <w:spacing w:before="40" w:after="0" w:line="240" w:lineRule="auto"/>
        <w:jc w:val="center"/>
        <w:rPr>
          <w:rFonts w:eastAsia="Times New Roman"/>
          <w:b/>
          <w:bCs/>
          <w:color w:val="000000"/>
          <w:lang w:val="en-US"/>
        </w:rPr>
      </w:pPr>
      <w:r>
        <w:rPr>
          <w:rFonts w:eastAsia="Times New Roman"/>
          <w:b/>
          <w:bCs/>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2195039</wp:posOffset>
                </wp:positionH>
                <wp:positionV relativeFrom="paragraph">
                  <wp:posOffset>3800</wp:posOffset>
                </wp:positionV>
                <wp:extent cx="1532744" cy="0"/>
                <wp:effectExtent l="0" t="0" r="0" b="0"/>
                <wp:wrapNone/>
                <wp:docPr id="1094512992" name="Straight Connector 3"/>
                <wp:cNvGraphicFramePr/>
                <a:graphic xmlns:a="http://schemas.openxmlformats.org/drawingml/2006/main">
                  <a:graphicData uri="http://schemas.microsoft.com/office/word/2010/wordprocessingShape">
                    <wps:wsp>
                      <wps:cNvCnPr/>
                      <wps:spPr>
                        <a:xfrm>
                          <a:off x="0" y="0"/>
                          <a:ext cx="1532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52A84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85pt,.3pt" to="29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" strokecolor="black [3200]" strokeweight=".5pt">
                <v:stroke joinstyle="miter"/>
              </v:line>
            </w:pict>
          </mc:Fallback>
        </mc:AlternateConten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rPr>
        <w:t xml:space="preserve">Căn cứ Luật Tổ chức </w:t>
      </w:r>
      <w:r w:rsidR="006D6185" w:rsidRPr="00A45849">
        <w:rPr>
          <w:rFonts w:asciiTheme="majorHAnsi" w:eastAsia="Times New Roman" w:hAnsiTheme="majorHAnsi" w:cstheme="majorHAnsi"/>
          <w:i/>
          <w:iCs/>
          <w:color w:val="000000"/>
          <w:szCs w:val="28"/>
          <w:lang w:val="en-US"/>
        </w:rPr>
        <w:t>C</w:t>
      </w:r>
      <w:r w:rsidRPr="00A45849">
        <w:rPr>
          <w:rFonts w:asciiTheme="majorHAnsi" w:eastAsia="Times New Roman" w:hAnsiTheme="majorHAnsi" w:cstheme="majorHAnsi"/>
          <w:i/>
          <w:iCs/>
          <w:color w:val="000000"/>
          <w:szCs w:val="28"/>
        </w:rPr>
        <w:t>hính quyền địa phương ngày 16 tháng 6 năm 2025;</w: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rPr>
        <w:t xml:space="preserve">Căn cứ Luật Ban hành văn bản quy phạm pháp luật ngày 22 tháng 6 năm 2015; Luật </w:t>
      </w:r>
      <w:r w:rsidR="003D176F" w:rsidRPr="00A45849">
        <w:rPr>
          <w:rFonts w:asciiTheme="majorHAnsi" w:eastAsia="Times New Roman" w:hAnsiTheme="majorHAnsi" w:cstheme="majorHAnsi"/>
          <w:i/>
          <w:iCs/>
          <w:color w:val="000000"/>
          <w:szCs w:val="28"/>
          <w:lang w:val="en-US"/>
        </w:rPr>
        <w:t>S</w:t>
      </w:r>
      <w:r w:rsidRPr="00A45849">
        <w:rPr>
          <w:rFonts w:asciiTheme="majorHAnsi" w:eastAsia="Times New Roman" w:hAnsiTheme="majorHAnsi" w:cstheme="majorHAnsi"/>
          <w:i/>
          <w:iCs/>
          <w:color w:val="000000"/>
          <w:szCs w:val="28"/>
        </w:rPr>
        <w:t>ửa đổi, bổ sung một số điều của Luật Ban hành văn bản quy phạm pháp luật ngày 25 tháng 6 năm 2025;</w: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w: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rPr>
        <w:t xml:space="preserve">Căn cứ Nghị định số 150/2025/NĐ-CP ngày 12 tháng 6 năm 2025 của Chính phủ </w:t>
      </w:r>
      <w:r w:rsidR="000726A4" w:rsidRPr="00A45849">
        <w:rPr>
          <w:rFonts w:asciiTheme="majorHAnsi" w:eastAsia="Times New Roman" w:hAnsiTheme="majorHAnsi" w:cstheme="majorHAnsi"/>
          <w:i/>
          <w:iCs/>
          <w:color w:val="000000"/>
          <w:szCs w:val="28"/>
          <w:lang w:val="en-US"/>
        </w:rPr>
        <w:t>q</w:t>
      </w:r>
      <w:r w:rsidRPr="00A45849">
        <w:rPr>
          <w:rFonts w:asciiTheme="majorHAnsi" w:eastAsia="Times New Roman" w:hAnsiTheme="majorHAnsi" w:cstheme="majorHAnsi"/>
          <w:i/>
          <w:iCs/>
          <w:color w:val="000000"/>
          <w:szCs w:val="28"/>
        </w:rPr>
        <w:t xml:space="preserve">uy định tổ chức các cơ quan chuyên môn thuộc </w:t>
      </w:r>
      <w:r w:rsidR="000726A4" w:rsidRPr="00A45849">
        <w:rPr>
          <w:rFonts w:asciiTheme="majorHAnsi" w:eastAsia="Times New Roman" w:hAnsiTheme="majorHAnsi" w:cstheme="majorHAnsi"/>
          <w:i/>
          <w:iCs/>
          <w:color w:val="000000"/>
          <w:szCs w:val="28"/>
          <w:lang w:val="en-US"/>
        </w:rPr>
        <w:t>UBND</w:t>
      </w:r>
      <w:r w:rsidRPr="00A45849">
        <w:rPr>
          <w:rFonts w:asciiTheme="majorHAnsi" w:eastAsia="Times New Roman" w:hAnsiTheme="majorHAnsi" w:cstheme="majorHAnsi"/>
          <w:i/>
          <w:iCs/>
          <w:color w:val="000000"/>
          <w:szCs w:val="28"/>
        </w:rPr>
        <w:t xml:space="preserve"> tỉnh, thành phố trực thuộc trung ương và </w:t>
      </w:r>
      <w:r w:rsidR="000726A4" w:rsidRPr="00A45849">
        <w:rPr>
          <w:rFonts w:asciiTheme="majorHAnsi" w:eastAsia="Times New Roman" w:hAnsiTheme="majorHAnsi" w:cstheme="majorHAnsi"/>
          <w:i/>
          <w:iCs/>
          <w:color w:val="000000"/>
          <w:szCs w:val="28"/>
          <w:lang w:val="en-US"/>
        </w:rPr>
        <w:t>UBND</w:t>
      </w:r>
      <w:r w:rsidRPr="00A45849">
        <w:rPr>
          <w:rFonts w:asciiTheme="majorHAnsi" w:eastAsia="Times New Roman" w:hAnsiTheme="majorHAnsi" w:cstheme="majorHAnsi"/>
          <w:i/>
          <w:iCs/>
          <w:color w:val="000000"/>
          <w:szCs w:val="28"/>
        </w:rPr>
        <w:t xml:space="preserve"> xã, phường, đặc khu thuộc tỉnh, thành phố trực thuộc trung ương;</w: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rPr>
        <w:t xml:space="preserve">Căn cứ Thông tư số 20/2025/TT-BYT ngày 23 tháng 6 năm 2025 của Bộ trưởng Bộ Y tế hướng dẫn chức năng, nhiệm vụ, quyền hạn của cơ quan chuyên môn về y tế thuộc </w:t>
      </w:r>
      <w:r w:rsidR="000726A4" w:rsidRPr="00A45849">
        <w:rPr>
          <w:rFonts w:asciiTheme="majorHAnsi" w:eastAsia="Times New Roman" w:hAnsiTheme="majorHAnsi" w:cstheme="majorHAnsi"/>
          <w:i/>
          <w:iCs/>
          <w:color w:val="000000"/>
          <w:szCs w:val="28"/>
          <w:lang w:val="en-US"/>
        </w:rPr>
        <w:t>UBND</w:t>
      </w:r>
      <w:r w:rsidRPr="00A45849">
        <w:rPr>
          <w:rFonts w:asciiTheme="majorHAnsi" w:eastAsia="Times New Roman" w:hAnsiTheme="majorHAnsi" w:cstheme="majorHAnsi"/>
          <w:i/>
          <w:iCs/>
          <w:color w:val="000000"/>
          <w:szCs w:val="28"/>
        </w:rPr>
        <w:t xml:space="preserve"> tỉnh, thành phố trực thuộc Trung ương và </w:t>
      </w:r>
      <w:r w:rsidR="000726A4" w:rsidRPr="00A45849">
        <w:rPr>
          <w:rFonts w:asciiTheme="majorHAnsi" w:eastAsia="Times New Roman" w:hAnsiTheme="majorHAnsi" w:cstheme="majorHAnsi"/>
          <w:i/>
          <w:iCs/>
          <w:color w:val="000000"/>
          <w:szCs w:val="28"/>
          <w:lang w:val="en-US"/>
        </w:rPr>
        <w:t>UBND</w:t>
      </w:r>
      <w:r w:rsidRPr="00A45849">
        <w:rPr>
          <w:rFonts w:asciiTheme="majorHAnsi" w:eastAsia="Times New Roman" w:hAnsiTheme="majorHAnsi" w:cstheme="majorHAnsi"/>
          <w:i/>
          <w:iCs/>
          <w:color w:val="000000"/>
          <w:szCs w:val="28"/>
        </w:rPr>
        <w:t xml:space="preserve"> xã, phường, đặc khu thuộc tỉnh, thành phố trực thuộc Trung ương;</w: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rPr>
        <w:t>Theo đề nghị của Giám đốc Sở Y tế tỉnh Sơn La tại Tờ trình số 204/TTrSYT ngày 17 tháng 7 năm 2025.</w:t>
      </w:r>
    </w:p>
    <w:p w:rsidR="00C043CD" w:rsidRPr="00A45849" w:rsidRDefault="000726A4"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i/>
          <w:iCs/>
          <w:color w:val="000000"/>
          <w:szCs w:val="28"/>
        </w:rPr>
      </w:pPr>
      <w:r w:rsidRPr="00A45849">
        <w:rPr>
          <w:rFonts w:asciiTheme="majorHAnsi" w:eastAsia="Times New Roman" w:hAnsiTheme="majorHAnsi" w:cstheme="majorHAnsi"/>
          <w:i/>
          <w:iCs/>
          <w:color w:val="000000"/>
          <w:szCs w:val="28"/>
          <w:lang w:val="en-US"/>
        </w:rPr>
        <w:t>UBND</w:t>
      </w:r>
      <w:r w:rsidR="00C043CD" w:rsidRPr="00A45849">
        <w:rPr>
          <w:rFonts w:asciiTheme="majorHAnsi" w:eastAsia="Times New Roman" w:hAnsiTheme="majorHAnsi" w:cstheme="majorHAnsi"/>
          <w:i/>
          <w:iCs/>
          <w:color w:val="000000"/>
          <w:szCs w:val="28"/>
        </w:rPr>
        <w:t xml:space="preserve"> ban hành Quyết định quy định chức năng, nhiệm vụ, quyền hạn và cơ cấu tổ chức của Sở Y tế tỉnh Sơn La.</w:t>
      </w:r>
    </w:p>
    <w:p w:rsidR="00C043CD"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b/>
          <w:bCs/>
          <w:color w:val="000000"/>
          <w:szCs w:val="28"/>
        </w:rPr>
        <w:t>Điều 1.</w:t>
      </w:r>
      <w:r w:rsidRPr="00A45849">
        <w:rPr>
          <w:rFonts w:asciiTheme="majorHAnsi" w:eastAsia="Times New Roman" w:hAnsiTheme="majorHAnsi" w:cstheme="majorHAnsi"/>
          <w:color w:val="000000"/>
          <w:szCs w:val="28"/>
        </w:rPr>
        <w:t xml:space="preserve"> Vị trí và chức năng của Sở Y tế</w:t>
      </w:r>
    </w:p>
    <w:p w:rsidR="0046792A" w:rsidRPr="00A45849" w:rsidRDefault="00C043CD"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1. Sở Y tế là cơ quan chuyên môn thuộc </w:t>
      </w:r>
      <w:r w:rsidR="002A19FC"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 Sơn La, có chức năng tham mưu, giúp </w:t>
      </w:r>
      <w:r w:rsidR="002A19FC"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 quản lý nhà nước về lĩnh vực y tế bao gồm: y tế dự phòng; khám bệnh, chữa bệnh, phục hồi chức năng;</w:t>
      </w:r>
      <w:r w:rsidR="009F160F" w:rsidRPr="00A45849">
        <w:rPr>
          <w:rFonts w:asciiTheme="majorHAnsi" w:eastAsia="Times New Roman" w:hAnsiTheme="majorHAnsi" w:cstheme="majorHAnsi"/>
          <w:color w:val="000000"/>
          <w:szCs w:val="28"/>
          <w:lang w:val="en-US"/>
        </w:rPr>
        <w:t xml:space="preserve"> </w:t>
      </w:r>
      <w:r w:rsidRPr="00A45849">
        <w:rPr>
          <w:rFonts w:asciiTheme="majorHAnsi" w:eastAsia="Times New Roman" w:hAnsiTheme="majorHAnsi" w:cstheme="majorHAnsi"/>
          <w:color w:val="000000"/>
          <w:szCs w:val="28"/>
        </w:rPr>
        <w:t xml:space="preserve"> </w:t>
      </w:r>
      <w:r w:rsidR="0046792A" w:rsidRPr="00A45849">
        <w:rPr>
          <w:rFonts w:asciiTheme="majorHAnsi" w:eastAsia="Times New Roman" w:hAnsiTheme="majorHAnsi" w:cstheme="majorHAnsi"/>
          <w:color w:val="000000"/>
          <w:szCs w:val="28"/>
        </w:rPr>
        <w:t xml:space="preserve">giám định y khoa, pháp y, pháp y tâm thần; bà mẹ, trẻ em; dân số; phòng, chống tệ nạn xã hội </w:t>
      </w:r>
      <w:r w:rsidR="0046792A" w:rsidRPr="00A45849">
        <w:rPr>
          <w:rFonts w:asciiTheme="majorHAnsi" w:eastAsia="Times New Roman" w:hAnsiTheme="majorHAnsi" w:cstheme="majorHAnsi"/>
          <w:i/>
          <w:iCs/>
          <w:color w:val="000000"/>
          <w:szCs w:val="28"/>
        </w:rPr>
        <w:t xml:space="preserve">(không bao gồm cai </w:t>
      </w:r>
      <w:r w:rsidR="0046792A" w:rsidRPr="00A45849">
        <w:rPr>
          <w:rFonts w:asciiTheme="majorHAnsi" w:eastAsia="Times New Roman" w:hAnsiTheme="majorHAnsi" w:cstheme="majorHAnsi"/>
          <w:i/>
          <w:iCs/>
          <w:color w:val="000000"/>
          <w:szCs w:val="28"/>
        </w:rPr>
        <w:lastRenderedPageBreak/>
        <w:t>nghiện ma túy và quản lý sau cai nghiện ma túy)</w:t>
      </w:r>
      <w:r w:rsidR="0046792A" w:rsidRPr="00A45849">
        <w:rPr>
          <w:rFonts w:asciiTheme="majorHAnsi" w:eastAsia="Times New Roman" w:hAnsiTheme="majorHAnsi" w:cstheme="majorHAnsi"/>
          <w:color w:val="000000"/>
          <w:szCs w:val="28"/>
        </w:rPr>
        <w:t>; quản lý, sử dụng Quỹ Bảo trợ trẻ em; bảo trợ xã hội; y, dược cổ truyền; dược, mỹ phẩm; an toàn thực phẩm; thiết bị y tế; bảo hiểm y tế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2. Sở Y tế có tư cách pháp nhân, có con dấu và tài khoản riêng theo quy định của pháp luật; chịu sự chỉ đạo, quản lý về tổ chức, biên chế và hoạt động của </w:t>
      </w:r>
      <w:r w:rsidR="009F160F" w:rsidRPr="00A45849">
        <w:rPr>
          <w:rFonts w:asciiTheme="majorHAnsi" w:eastAsia="Times New Roman" w:hAnsiTheme="majorHAnsi" w:cstheme="majorHAnsi"/>
          <w:color w:val="000000"/>
          <w:szCs w:val="28"/>
          <w:lang w:val="en-US"/>
        </w:rPr>
        <w:t xml:space="preserve">UBND </w:t>
      </w:r>
      <w:r w:rsidRPr="00A45849">
        <w:rPr>
          <w:rFonts w:asciiTheme="majorHAnsi" w:eastAsia="Times New Roman" w:hAnsiTheme="majorHAnsi" w:cstheme="majorHAnsi"/>
          <w:color w:val="000000"/>
          <w:szCs w:val="28"/>
        </w:rPr>
        <w:t>tỉnh đồng thời chịu sự chỉ đạo, kiểm tra, hướng dẫn về chuyên môn, nghiệp vụ của Bộ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b/>
          <w:bCs/>
          <w:color w:val="000000"/>
          <w:szCs w:val="28"/>
        </w:rPr>
        <w:t>Điều 2.</w:t>
      </w:r>
      <w:r w:rsidRPr="00A45849">
        <w:rPr>
          <w:rFonts w:asciiTheme="majorHAnsi" w:eastAsia="Times New Roman" w:hAnsiTheme="majorHAnsi" w:cstheme="majorHAnsi"/>
          <w:color w:val="000000"/>
          <w:szCs w:val="28"/>
        </w:rPr>
        <w:t xml:space="preserve"> Nhiệm vụ và quyền hạn của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lang w:val="en-US"/>
        </w:rPr>
      </w:pPr>
      <w:r w:rsidRPr="00A45849">
        <w:rPr>
          <w:rFonts w:asciiTheme="majorHAnsi" w:eastAsia="Times New Roman" w:hAnsiTheme="majorHAnsi" w:cstheme="majorHAnsi"/>
          <w:color w:val="000000"/>
          <w:szCs w:val="28"/>
        </w:rPr>
        <w:t>1. Trình Ủy ban nhân dân tỉnh</w:t>
      </w:r>
      <w:r w:rsidR="009F160F" w:rsidRPr="00A45849">
        <w:rPr>
          <w:rFonts w:asciiTheme="majorHAnsi" w:eastAsia="Times New Roman" w:hAnsiTheme="majorHAnsi" w:cstheme="majorHAnsi"/>
          <w:color w:val="000000"/>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a) Dự thảo </w:t>
      </w:r>
      <w:r w:rsidR="009F160F" w:rsidRPr="00A45849">
        <w:rPr>
          <w:rFonts w:asciiTheme="majorHAnsi" w:eastAsia="Times New Roman" w:hAnsiTheme="majorHAnsi" w:cstheme="majorHAnsi"/>
          <w:color w:val="000000"/>
          <w:szCs w:val="28"/>
          <w:lang w:val="en-US"/>
        </w:rPr>
        <w:t>N</w:t>
      </w:r>
      <w:r w:rsidRPr="00A45849">
        <w:rPr>
          <w:rFonts w:asciiTheme="majorHAnsi" w:eastAsia="Times New Roman" w:hAnsiTheme="majorHAnsi" w:cstheme="majorHAnsi"/>
          <w:color w:val="000000"/>
          <w:szCs w:val="28"/>
        </w:rPr>
        <w:t xml:space="preserve">ghị quyết của </w:t>
      </w:r>
      <w:r w:rsidR="009F160F" w:rsidRPr="00A45849">
        <w:rPr>
          <w:rFonts w:asciiTheme="majorHAnsi" w:eastAsia="Times New Roman" w:hAnsiTheme="majorHAnsi" w:cstheme="majorHAnsi"/>
          <w:color w:val="000000"/>
          <w:szCs w:val="28"/>
          <w:lang w:val="en-US"/>
        </w:rPr>
        <w:t>HĐND</w:t>
      </w:r>
      <w:r w:rsidRPr="00A45849">
        <w:rPr>
          <w:rFonts w:asciiTheme="majorHAnsi" w:eastAsia="Times New Roman" w:hAnsiTheme="majorHAnsi" w:cstheme="majorHAnsi"/>
          <w:color w:val="000000"/>
          <w:szCs w:val="28"/>
        </w:rPr>
        <w:t xml:space="preserve"> tỉnh, dự thảo </w:t>
      </w:r>
      <w:r w:rsidR="009F160F" w:rsidRPr="00A45849">
        <w:rPr>
          <w:rFonts w:asciiTheme="majorHAnsi" w:eastAsia="Times New Roman" w:hAnsiTheme="majorHAnsi" w:cstheme="majorHAnsi"/>
          <w:color w:val="000000"/>
          <w:szCs w:val="28"/>
          <w:lang w:val="en-US"/>
        </w:rPr>
        <w:t>Q</w:t>
      </w:r>
      <w:r w:rsidRPr="00A45849">
        <w:rPr>
          <w:rFonts w:asciiTheme="majorHAnsi" w:eastAsia="Times New Roman" w:hAnsiTheme="majorHAnsi" w:cstheme="majorHAnsi"/>
          <w:color w:val="000000"/>
          <w:szCs w:val="28"/>
        </w:rPr>
        <w:t xml:space="preserve">uyết định của </w:t>
      </w:r>
      <w:r w:rsidR="009F160F"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 liên quan đến các lĩnh vực thuộc phạm vi quản lý của Sở Y tế và các văn bản khác theo phân công của </w:t>
      </w:r>
      <w:r w:rsidR="009F160F"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b) Dự thảo kế hoạch, chương trình, đề án, dự án và biện pháp tổ chức thực hiện các nhiệm vụ về phát triển ngành, lĩnh vực trên địa bàn thuộc phạm vi quản lý của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c) Dự thảo </w:t>
      </w:r>
      <w:r w:rsidR="009E4F5D" w:rsidRPr="00A45849">
        <w:rPr>
          <w:rFonts w:asciiTheme="majorHAnsi" w:eastAsia="Times New Roman" w:hAnsiTheme="majorHAnsi" w:cstheme="majorHAnsi"/>
          <w:color w:val="000000"/>
          <w:szCs w:val="28"/>
          <w:lang w:val="en-US"/>
        </w:rPr>
        <w:t>Q</w:t>
      </w:r>
      <w:r w:rsidRPr="00A45849">
        <w:rPr>
          <w:rFonts w:asciiTheme="majorHAnsi" w:eastAsia="Times New Roman" w:hAnsiTheme="majorHAnsi" w:cstheme="majorHAnsi"/>
          <w:color w:val="000000"/>
          <w:szCs w:val="28"/>
        </w:rPr>
        <w:t xml:space="preserve">uyết định quy định cụ thể chức năng, nhiệm vụ, quyền hạn và cơ cấu tổ chức của Sở Y tế; dự thảo </w:t>
      </w:r>
      <w:r w:rsidR="00515FA9" w:rsidRPr="00A45849">
        <w:rPr>
          <w:rFonts w:asciiTheme="majorHAnsi" w:eastAsia="Times New Roman" w:hAnsiTheme="majorHAnsi" w:cstheme="majorHAnsi"/>
          <w:color w:val="000000"/>
          <w:szCs w:val="28"/>
          <w:lang w:val="en-US"/>
        </w:rPr>
        <w:t>Q</w:t>
      </w:r>
      <w:r w:rsidRPr="00A45849">
        <w:rPr>
          <w:rFonts w:asciiTheme="majorHAnsi" w:eastAsia="Times New Roman" w:hAnsiTheme="majorHAnsi" w:cstheme="majorHAnsi"/>
          <w:color w:val="000000"/>
          <w:szCs w:val="28"/>
        </w:rPr>
        <w:t>uyết định quy định chức năng, nhiệm vụ, quyền hạn và cơ cấu tổ chức của chi cục và các đơn vị sự nghiệp trực thuộc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d) Dự thảo </w:t>
      </w:r>
      <w:r w:rsidR="009E4F5D" w:rsidRPr="00A45849">
        <w:rPr>
          <w:rFonts w:asciiTheme="majorHAnsi" w:eastAsia="Times New Roman" w:hAnsiTheme="majorHAnsi" w:cstheme="majorHAnsi"/>
          <w:color w:val="000000"/>
          <w:szCs w:val="28"/>
          <w:lang w:val="en-US"/>
        </w:rPr>
        <w:t>Q</w:t>
      </w:r>
      <w:r w:rsidRPr="00A45849">
        <w:rPr>
          <w:rFonts w:asciiTheme="majorHAnsi" w:eastAsia="Times New Roman" w:hAnsiTheme="majorHAnsi" w:cstheme="majorHAnsi"/>
          <w:color w:val="000000"/>
          <w:szCs w:val="28"/>
        </w:rPr>
        <w:t xml:space="preserve">uyết định thực hiện xã hội hóa hoạt động cung ứng dịch vụ sự nghiệp công trong lĩnh vực y tế thuộc thẩm quyền của </w:t>
      </w:r>
      <w:r w:rsidR="009E4F5D"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đ) Dự thảo </w:t>
      </w:r>
      <w:r w:rsidR="009E4F5D" w:rsidRPr="00A45849">
        <w:rPr>
          <w:rFonts w:asciiTheme="majorHAnsi" w:eastAsia="Times New Roman" w:hAnsiTheme="majorHAnsi" w:cstheme="majorHAnsi"/>
          <w:color w:val="000000"/>
          <w:szCs w:val="28"/>
          <w:lang w:val="en-US"/>
        </w:rPr>
        <w:t>Q</w:t>
      </w:r>
      <w:r w:rsidRPr="00A45849">
        <w:rPr>
          <w:rFonts w:asciiTheme="majorHAnsi" w:eastAsia="Times New Roman" w:hAnsiTheme="majorHAnsi" w:cstheme="majorHAnsi"/>
          <w:color w:val="000000"/>
          <w:szCs w:val="28"/>
        </w:rPr>
        <w:t>uyết định phân cấp, ủy quyền các nhiệm vụ thuộc phạm vi quản lý nhà nước của Sở Y tế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rPr>
      </w:pPr>
      <w:r w:rsidRPr="00A45849">
        <w:rPr>
          <w:rFonts w:asciiTheme="majorHAnsi" w:eastAsia="Times New Roman" w:hAnsiTheme="majorHAnsi" w:cstheme="majorHAnsi"/>
          <w:color w:val="000000"/>
          <w:szCs w:val="28"/>
        </w:rPr>
        <w:t xml:space="preserve">2. Trình Chủ tịch </w:t>
      </w:r>
      <w:r w:rsidR="009E4F5D"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 dự thảo các văn bản thuộc thẩm quyền ban hành của Chủ tịch </w:t>
      </w:r>
      <w:r w:rsidR="009E4F5D" w:rsidRPr="00A45849">
        <w:rPr>
          <w:rFonts w:asciiTheme="majorHAnsi" w:eastAsia="Times New Roman" w:hAnsiTheme="majorHAnsi" w:cstheme="majorHAnsi"/>
          <w:color w:val="000000"/>
          <w:szCs w:val="28"/>
          <w:lang w:val="en-US"/>
        </w:rPr>
        <w:t>UBND</w:t>
      </w:r>
      <w:r w:rsidRPr="00A45849">
        <w:rPr>
          <w:rFonts w:asciiTheme="majorHAnsi" w:eastAsia="Times New Roman" w:hAnsiTheme="majorHAnsi" w:cstheme="majorHAnsi"/>
          <w:color w:val="000000"/>
          <w:szCs w:val="28"/>
        </w:rPr>
        <w:t xml:space="preserve"> tỉnh theo phân công.</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pacing w:val="-2"/>
          <w:szCs w:val="28"/>
        </w:rPr>
      </w:pPr>
      <w:r w:rsidRPr="00A45849">
        <w:rPr>
          <w:rFonts w:asciiTheme="majorHAnsi" w:eastAsia="Times New Roman" w:hAnsiTheme="majorHAnsi" w:cstheme="majorHAnsi"/>
          <w:color w:val="000000"/>
          <w:spacing w:val="-2"/>
          <w:szCs w:val="28"/>
        </w:rPr>
        <w:t>3. Tổ chức thực hiện các văn bản quy phạm pháp luật, chiến lược, quy hoạch, kế hoạch, chương trình, đề án, dự án và các văn bản khác về lĩnh vực y tế sau khi được phê duyệt; thông tin, tuyên truyền, hướng dẫn, phổ biến, giáo dục pháp luật và theo dõi thi hành pháp luật về các lĩnh vực thuộc phạm vi quản lý nhà nước của Sở Y tế.</w:t>
      </w:r>
    </w:p>
    <w:p w:rsidR="009E1A02"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eastAsia="Times New Roman" w:hAnsiTheme="majorHAnsi" w:cstheme="majorHAnsi"/>
          <w:color w:val="000000"/>
          <w:szCs w:val="28"/>
          <w:lang w:val="en-US"/>
        </w:rPr>
      </w:pPr>
      <w:r w:rsidRPr="00A45849">
        <w:rPr>
          <w:rFonts w:asciiTheme="majorHAnsi" w:eastAsia="Times New Roman" w:hAnsiTheme="majorHAnsi" w:cstheme="majorHAnsi"/>
          <w:color w:val="000000"/>
          <w:szCs w:val="28"/>
        </w:rPr>
        <w:t xml:space="preserve">4. Tổ chức thực hiện việc thẩm định, cấp mới, cấp lại, gia hạn, điều chỉnh, đình chỉ, thu hồi giấp phép, giấy chứng nhận, giấy xác nhận thuộc thẩm quyền quản lý của Sở Y tế theo phân công, phân cấp và theo quy định của pháp luật. Thực hiện quản lý, giám sát chất lượng của các dịch vụ, sản phẩm, hàng hóa thuộc phạm vi quản lý nhà nước của Sở Y tế theo quy định của pháp luật.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5. Về y tế dự phòng</w:t>
      </w:r>
      <w:r w:rsidR="00DD012C"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văn bản quy phạm pháp luật; quy định chuyên môn, quy chuẩn kỹ thuật quốc gia về phòng, chống các bệnh truyền nhiễm và HIV/AIDS, bệnh không lây nhiễm, bệnh nghề nghiệp, tai nạn thương tích; xác định tình trạng nghiện ma túy, dự phòng và điều trị nghiện các chất dạng thuốc phiện, các chất ma túy khác; sức khoẻ môi trường, sức khoẻ trường học, vệ sinh và sức khoẻ lao động; dinh dưỡng cộng đồng; kiểm dịch y tế biên giới; quản lý chất thải trong khuôn viên cơ sở y tế; quản lý hoá chất, chế phẩm diệt côn trùng, diệt khuẩn dùng trong lĩnh vực gia dụng và y tế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b) Hướng dẫn, tổ chức thực hiện giám sát bệnh truyền nhiễm và HIV/AIDS, bệnh không lây nhiễm, bệnh chưa rõ nguyên nhân, các yếu tố nguy cơ ảnh hưởng đến sức khỏe, các vấn đề y tế công cộng khác; phát hiện sớm và xử lý các bệnh truyền nhiễm gây dịch; thực hiện thông báo tình hình dịch theo quy định của pháp luật; tham mưu cho </w:t>
      </w:r>
      <w:r w:rsidR="00DD012C"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về việc công bố dịch và công bố hết dịch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c) Hướng dẫn, tổ chức thực hiện hoạt động tiêm chủng vắc xin và sử dụng sinh phẩm y tế cho các đối tượng theo quy định của pháp luật; tổ chức tiếp nhận hồ sơ, thực hiện đăng tải thông tin về cơ sở đã công bố đủ điều kiện tiêm chủng trên trang </w:t>
      </w:r>
      <w:r w:rsidR="00D94123" w:rsidRPr="00A45849">
        <w:rPr>
          <w:rFonts w:asciiTheme="majorHAnsi" w:hAnsiTheme="majorHAnsi" w:cstheme="majorHAnsi"/>
          <w:szCs w:val="28"/>
          <w:lang w:val="en-US"/>
        </w:rPr>
        <w:t>T</w:t>
      </w:r>
      <w:r w:rsidRPr="00A45849">
        <w:rPr>
          <w:rFonts w:asciiTheme="majorHAnsi" w:hAnsiTheme="majorHAnsi" w:cstheme="majorHAnsi"/>
          <w:szCs w:val="28"/>
        </w:rPr>
        <w:t>hông tin điện tử của Sở Y tế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d) Công bố, công bố lại cơ sở đủ điều kiện, đình chỉ, hủy bỏ hồ sơ công bố cơ sở đủ điều kiện hoạt động điều trị nghiện các chất dạng thuốc phiện bằng thuốc thay thế theo quy định của pháp luật; đăng tải danh sách các cơ sở đã tự công bố đạt tiêu chuẩn an toàn sinh học cấp I và cấp II trên trang thông tin điện tử của Sở Y tế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đ) Quản lý, hướng dẫn và tổ chức thực hiện hoạt động quan trắc môi trường lao động tại cơ sở lao động; đánh giá, kiểm soát, quản lý các yếu tố có hại sức khỏe tại nơi làm việc; xây dựng cơ sở dữ liệu về hoạt động quan trắc môi trường lao động, công bố tổ chức quan trắc môi trường lao động đủ điều kiện hoạt động và tổ chức quan trắc môi trường bị đình chỉ hoạt động theo quy định của pháp luật; tham mưu với </w:t>
      </w:r>
      <w:r w:rsidR="00DD012C"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ban hành quy chuẩn kỹ thuật địa phương về chất lượng nước sạch sử dụng cho mục đích sinh hoạt và kiểm tra, giám sát thực hiện theo quy định;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e) Hướng dẫn theo thẩm quyền công tác quản lý vệ sinh lao động, khám sức khỏe người lao động, khám phát hiện bệnh nghề nghiệp, quản lý sức khỏe người lao động tại nơi làm việc; quản lý về công tác huấn luyện cấp chứng chỉ chứng nhận chuyên môn về y tế lao động, huấn luyện sơ cứu, cấp cứu tại nơi làm việc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g) Đầu mối về công tác phòng chống tác hại của thuốc lá, phòng chống tác hại của rượu, bia theo quy định của pháp luật.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6. Về khám bệnh, chữa bệnh, phục hồi chức năng; giám định y khoa, giám định pháp y, giám định pháp y tâm thần</w:t>
      </w:r>
      <w:r w:rsidR="00DD012C"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văn bản quy phạm pháp luật, quy định chuyên môn kỹ thuật, quy chuẩn kỹ thuật quốc gia về khám bệnh, chữa bệnh, phục hồi chức năng, giám định y khoa, giám định pháp y, giám định pháp y tâm thần theo phân cấp quản lý và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Thẩm định, xếp cấp chuyên môn kỹ thuật đối với các cơ sở khám bệnh, chữa bệnh và phê duyệt danh mục kỹ thuật được thực hiện tại cơ sở khám bệnh, chữa bệnh thuộc thẩm quyền theo phân cấp và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Hướng dẫn về chuyên môn và thực hiện nhiệm vụ bảo vệ, chăm sóc sức khỏe cán bộ thuộc diện quản lý theo quy định.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7. Về bà mẹ, trẻ em</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văn bản quy phạm pháp luật, chiến lược, chính sách, chương trình, kế hoạch, mục tiêu quốc gia, chỉ tiêu về bà mẹ, trẻ em; các quy định chuyên môn, quy chuẩn kỹ thuật quốc gia về dịch vụ chăm sóc sức khỏe sinh sản, dịch vụ bảo vệ trẻ em;</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Hướng dẫn, tổ chức thực hiện việc tư vấn, chăm sóc sức khỏe sinh sản; tư vấn, dinh dưỡng, chăm sóc sức khỏe cho bà mẹ, trẻ em; tư vấn, sàng lọc, chẩn đoán, điều trị trước sinh và sơ sinh; mô hình, dự án về bảo vệ bà mẹ, trẻ em; Tháng hành động vì trẻ em; sự tham gia của trẻ em vào các vấn đề về trẻ em; chăm sóc, nuôi dưỡng trẻ em có hoàn cảnh đặc biệt; phòng, chống tai nạn, thương tích trẻ em;</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pacing w:val="-2"/>
          <w:szCs w:val="28"/>
        </w:rPr>
      </w:pPr>
      <w:r w:rsidRPr="00A45849">
        <w:rPr>
          <w:rFonts w:asciiTheme="majorHAnsi" w:hAnsiTheme="majorHAnsi" w:cstheme="majorHAnsi"/>
          <w:szCs w:val="28"/>
        </w:rPr>
        <w:t xml:space="preserve">c) Điều phối thực hiện quyền trẻ em phù hợp với đặc điểm, điều kiện của địa phương; đề xuất việc bố trí, vận động nguồn lực bảo đảm thực hiện quyền của trẻ em và bảo vệ trẻ em tại địa phương; tổ chức, quản lý hoạt động của cơ sở cung cấp </w:t>
      </w:r>
      <w:r w:rsidRPr="00A45849">
        <w:rPr>
          <w:rFonts w:asciiTheme="majorHAnsi" w:hAnsiTheme="majorHAnsi" w:cstheme="majorHAnsi"/>
          <w:spacing w:val="-2"/>
          <w:szCs w:val="28"/>
        </w:rPr>
        <w:t>dịch vụ bảo vệ trẻ em theo thẩm quyền; hỗ trợ, can thiệp đối với trường hợp trẻ em bị xâm hại hoặc có nguy cơ bị bạo lực, bóc lột, bỏ rơi và trẻ em có hoàn cảnh đặc biệt;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pacing w:val="-2"/>
          <w:szCs w:val="28"/>
        </w:rPr>
      </w:pPr>
      <w:r w:rsidRPr="00A45849">
        <w:rPr>
          <w:rFonts w:asciiTheme="majorHAnsi" w:hAnsiTheme="majorHAnsi" w:cstheme="majorHAnsi"/>
          <w:szCs w:val="28"/>
        </w:rPr>
        <w:t xml:space="preserve">d) Theo dõi, đánh giá việc thực hiện các quyền trẻ em theo quy định của pháp luật; đề xuất việc lồng ghép các mục tiêu, chỉ tiêu về trẻ em khi địa phương xây dựng </w:t>
      </w:r>
      <w:r w:rsidRPr="00A45849">
        <w:rPr>
          <w:rFonts w:asciiTheme="majorHAnsi" w:hAnsiTheme="majorHAnsi" w:cstheme="majorHAnsi"/>
          <w:spacing w:val="-2"/>
          <w:szCs w:val="28"/>
        </w:rPr>
        <w:t>quy hoạch, kế hoạch phát triển kinh tế - xã hội; xây dựng báo cáo hằng năm hoặc đột xuất về việc thực hiện quyền trẻ em, giải quyết các vấn đề về trẻ em của địa phương.</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8. Về dân số</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a) Hướng dẫn, tổ chức thực hiện các văn bản quy phạm pháp luật, chiến lược, chính sách, chương trình, kế hoạch, đề án, dự án, mô hình, hệ thống mục tiêu, chỉ tiêu về dân số; quy định chuyên môn, quy chuẩn kỹ thuật quốc gia về dịch vụ trong lĩnh vực dân số;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pacing w:val="-6"/>
          <w:szCs w:val="28"/>
        </w:rPr>
        <w:t xml:space="preserve">b) Thực hiện công tác quản lý nhà nước về quy mô, cơ cấu, chất lượng dân số trên địa bàn. Tham mưu các giải pháp nhằm điều chỉnh quy mô dân số phù hợp, </w:t>
      </w:r>
      <w:r w:rsidRPr="00A45849">
        <w:rPr>
          <w:rFonts w:asciiTheme="majorHAnsi" w:hAnsiTheme="majorHAnsi" w:cstheme="majorHAnsi"/>
          <w:spacing w:val="-2"/>
          <w:szCs w:val="28"/>
        </w:rPr>
        <w:t xml:space="preserve">kiểm soát tỷ </w:t>
      </w:r>
      <w:r w:rsidRPr="00A45849">
        <w:rPr>
          <w:rFonts w:asciiTheme="majorHAnsi" w:hAnsiTheme="majorHAnsi" w:cstheme="majorHAnsi"/>
          <w:szCs w:val="28"/>
        </w:rPr>
        <w:t>số giới tính khi sinh, nâng cao chất lượng dân số và thích ứng với già hóa dân số;</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Chủ trì, phối hợp liên ngành trong công tác dân số; lồng ghép nội dung về dân số - phát triển trong xây dựng quy hoạch, kế hoạch phát triển kinh tế - xã hội của địa phương.</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9. Về bảo trợ xã hội và phòng, chống tệ nạn xã hội</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văn bản quy phạm pháp luật, chính sách, chương trình, kế hoạch về trợ giúp xã hội, trợ cấp hưu trí xã hội, hỗ trợ chi phí mai táng, công tác xã hội, công tác người cao tuổi, công tác người khuyết tật và các trợ giúp xã hội khác;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Hướng dẫn, tổ chức thực hiện văn bản quy phạm pháp luật, chính sách, chương trình, kế hoạch về phòng, chống tệ nạn mại dâm và hỗ trợ nạn nhân bị mua bán, người đang trong quá trình xác định là nạn nhân bị mua bán;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Hướng dẫn, tổ chức thực hiện chính sách, pháp luật về trợ giúp xã hội khẩn cấp trong việc khắc phục hậu quả thiên tai, thảm họa, dịch bệnh hoặc các lý do bất khả kháng khác;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d) Hướng dẫn, tổ chức thực hiện các quy định về điều kiện, thủ tục thành lập và đăng ký, cấp giấy phép hoạt động đối với cơ sở trợ giúp xã hội, cơ sở chăm sóc người khuyết tật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đ) Hướng dẫn, tổ chức thực hiện hoạt động nuôi dưỡng, chăm sóc tại cơ sở trợ giúp xã hội, cơ sở chăm sóc người cao tuổi, người khuyết tật;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e) Hướng dẫn, tổ chức thực hiện việc sàng lọc dấu hiệu bị mua bán đối với người lao động; việc tiếp nhận và thực hiện biện pháp hỗ trợ y tế, hỗ trợ tâm lý đối với nạn nhân, người đang trong quá trình xác định là nạn nhân bị mua bán và hỗ trợ nạn nhân bị mua bán hòa nhập cộng đồng;</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g) Hướng dẫn, tổ chức thực hiện lồng ghép nội dung phòng, chống tệ nạn mại dâm, mua bán người vào chương trình phòng, chống tệ nạn xã hội, bảo vệ trẻ em, chương trình vì sự tiến bộ của phụ nữ và chương trình khác về phát triển kinh tế - xã hội của địa phương.</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10. Về y, dược cổ truyền</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a) Hướng dẫn, tổ chức thực hiện các cơ chế, chính sách, các văn bản quy phạm pháp luật về kế thừa, bảo tồn, phát triển, hiện đại hóa y, dược cổ truyền; quy định chuyên môn, quy chuẩn kỹ thuật quốc gia về y, dược cổ truyền; kết hợp y, dược cổ truyền với y, dược hiện đại;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Phối hợp với các cơ quan, đơn vị liên quan tổ chức triển khai các biện pháp bảo tồn, khai thác, sử dụng hợp lý và bền vững nguồn dược liệu, phát triển vùng nuôi trồng dược liệu.</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11. Về dược và mỹ phẩm</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văn bản quy phạm pháp luật, quy định chuyên môn, quy chuẩn kỹ thuật quốc gia về dược, mỹ phẩm; bộ tiêu chuẩn quốc gia về thuốc;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Thực hiện quản lý về chất lượng thuốc, nguyên liệu làm thuốc; đình chỉ lưu hành, thu hồi thuốc, nguyên liệu làm thuốc; kiểm tra giám sát việc thu hồi, xử lý thuốc, nguyên liệu làm thuốc, mỹ phẩm thuộc thẩm quyền quản lý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c) Tham mưu với </w:t>
      </w:r>
      <w:r w:rsidR="008E7A47"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thực hiện đấu thầu, mua thuốc theo quy định của pháp luật và triển khai các giải pháp cung ứng thuốc phục vụ công tác khám bệnh, chữa bệnh, khắc phục hậu quả thiên tai, thảm họa;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d) Chỉ đạo, hướng dẫn tổ chức thực hiện hoạt động dược lâm sàng bảo đảm an toàn, hiệu quả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12. Về an toàn thực phẩm</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Chủ trì, xây dựng và trình cấp có thẩm quyền ban hành quy chuẩn kỹ thuật địa phương về an toàn thực phẩm đối với các sản phẩm thực phẩm đặc thù của địa phương thuộc ngành y tế quản lý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Chủ trì, phối hợp với các cơ quan có liên quan quản lý an toàn thực phẩm, điều tra, xử lý các vụ ngộ độc thực phẩm trên địa bàn; giám sát, kiểm tra điều kiện bảo đảm an toàn đối với cơ sở sản xuất, kinh doanh thực phẩm nhỏ lẻ, thức ăn đường phố, cơ sở kinh doanh, dịch vụ ăn uống, an toàn thực phẩm tại các chợ trên địa bàn và các đối tượng theo phân cấp quản lý.</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13. Về thiết bị y tế và công trình y tế</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quy định của pháp luật về quản lý thiết bị y tế và công trình y tế trên địa bàn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Đăng tải công khai các thông tin về thiết bị y tế, về cơ sở sản xuất, kinh doanh thiết bị y tế trên địa bàn tỉnh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14. Về bảo hiểm y tế</w:t>
      </w:r>
      <w:r w:rsidR="00647704"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Hướng dẫn, tổ chức thực hiện các quy định của pháp luật về bảo hiểm y tế trên địa bàn tỉnh theo thẩm quyền;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Chủ trì, phối hợp với cơ quan Bảo hiểm xã hội ở địa phương thực hiện chính sách, pháp luật về bảo hiểm y tế trên địa bàn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15. Về đào tạo, bồi dưỡng, phát triển nguồn nhân lực y tế</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Xây dựng, trình cấp có thẩm quyền ban hành chế độ khuyến khích phát triển nguồn nhân lực y tế trên địa bàn tỉnh và ban hành kế hoạch đào tạo, bồi dưỡng công chức, viên chức, người lao động thuộc phạm vi quản lý;</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Tổ chức thực hiện kế hoạch đào tạo, bồi dưỡng nguồn nhân lực y tế và các chế độ, chính sách phát triển nguồn nhân lực y tế trên địa bàn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Quản lý cơ sở đào tạo, bồi dưỡng, đội ngũ giảng viên và các chương trình, tài liệu bồi dưỡng công chức, viên chức, người lao động theo thẩm quyền.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16. Về truyền thông, cung cấp thông tin y tế</w:t>
      </w:r>
      <w:r w:rsidR="008E7A47" w:rsidRPr="00A45849">
        <w:rPr>
          <w:rFonts w:asciiTheme="majorHAnsi" w:hAnsiTheme="majorHAnsi" w:cstheme="majorHAnsi"/>
          <w:szCs w:val="28"/>
          <w:lang w:val="en-US"/>
        </w:rPr>
        <w:t xml:space="preserve">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Thực hiện truyền thông vận động, huy động sự ủng hộ của cấp ủy Đảng, chính quyền, các tổ chức chính trị - xã hội và sự chủ động tham gia của người dân về công tác bảo vệ, chăm sóc và nâng cao sức khoẻ nhân dân trên địa bàn;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Hướng dẫn, tổ chức thực hiện công tác truyền thông, giáo dục sức khỏe cho người dân; công tác giáo dục y đức, y nghiệp và phong trào thi đua yêu nước, học tập và làm theo tấm gương đạo đức, phong cách Hồ Chí Minh cho cán bộ, nhân viên y tế trên địa bàn;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Đầu mối thực hiện tuyên truyền, phổ biến chính sách, pháp luật, cung cấp thông tin, quản lý thông tin về lĩnh vực y tế theo thẩm quyền; phối hợp với các cơ quan, đơn vị có liên quan xử lý khủng hoảng truyền thông về ngành, lĩnh vực thuộc phạm vi quản lý tại địa phương; thực hiện quy chế phát ngôn, cung cấp thông tin về lĩnh vực y tế theo quy định.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17. Giúp </w:t>
      </w:r>
      <w:r w:rsidR="008E7A47"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quản lý, sử dụng Quỹ Bảo trợ trẻ em theo quy định; quản lý nhà nước theo thẩm quyền đối với các doanh nghiệp, tổ chức kinh tế tập thể, kinh tế tư nhân, các hội, hiệp hội và tổ chức phi chính phủ tham gia hoạt động trong lĩnh vực y tế ở địa phương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pacing w:val="4"/>
          <w:szCs w:val="28"/>
        </w:rPr>
      </w:pPr>
      <w:r w:rsidRPr="00A45849">
        <w:rPr>
          <w:rFonts w:asciiTheme="majorHAnsi" w:hAnsiTheme="majorHAnsi" w:cstheme="majorHAnsi"/>
          <w:spacing w:val="4"/>
          <w:szCs w:val="28"/>
        </w:rPr>
        <w:t>18. Tổ chức thực hiện việc tiếp nhận hồ sơ, giải quyết các thủ tục hành chính theo phân công, phân cấp, ủy quyền của cấp có thẩm quyền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19. Kiểm tra và xử lý vi phạm theo thẩm quyền đối với các tổ chức, cá nhân trong việc thực hiện các quy định của pháp luật về ngành, lĩnh vực thuộc phạm vi quản lý của Sở Y tế theo quy định của pháp luật và theo sự phân công hoặc ủy quyền của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20. Triển khai thực hiện các nội dung cải cách hành chính trong lĩnh vực y tế theo mục tiêu, nhiệm vụ, giải pháp của chương trình cải cách hành chính nhà nước của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21. Thực hiện hợp tác quốc tế trong lĩnh vực y tế theo phân công hoặc ủy quyền của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22. Hướng dẫn chuyên môn, nghiệp vụ thuộc lĩnh vực y tế đối với cơ quan chuyên môn thuộc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cấp xã và đơn vị liên quan.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23. Tổ chức nghiên cứu, ứng dụng thành tựu khoa học - công nghệ và đổi mới sáng tạo; xây dựng, quản lý hồ sơ sức khỏe điện tử; xây dựng, quản lý, duy trì, cập nhật, bảo đảm an ninh, an toàn hệ thống thông tin, cơ sở dữ liệu, chuyển đổi số phục vụ công tác quản lý nhà nước và chuyên môn, nghiệp vụ thuộc lĩnh vực y tế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pacing w:val="-8"/>
          <w:szCs w:val="28"/>
        </w:rPr>
      </w:pPr>
      <w:r w:rsidRPr="00A45849">
        <w:rPr>
          <w:rFonts w:asciiTheme="majorHAnsi" w:hAnsiTheme="majorHAnsi" w:cstheme="majorHAnsi"/>
          <w:spacing w:val="-8"/>
          <w:szCs w:val="28"/>
        </w:rPr>
        <w:t xml:space="preserve">24. Tổ chức thực hiện việc tiếp công dân, giải quyết khiếu nại, tố cáo; phòng, chống </w:t>
      </w:r>
      <w:r w:rsidRPr="00A45849">
        <w:rPr>
          <w:rFonts w:asciiTheme="majorHAnsi" w:hAnsiTheme="majorHAnsi" w:cstheme="majorHAnsi"/>
          <w:spacing w:val="-6"/>
          <w:szCs w:val="28"/>
        </w:rPr>
        <w:t>tham nhũng, tiêu cực; thực hành tiết kiệm, chống lãng phí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25. Quy định cụ thể chức năng, nhiệm vụ, quyền hạn của các tổ chức thuộc Sở Y tế phù hợp với chức năng, nhiệm vụ, quyền hạn của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26. Quản lý tổ chức bộ máy, biên chế công chức, cơ cấu ngạch công chức, vị trí việc làm, cơ cấu viên chức theo chức danh nghề nghiệp và số lượng người làm việc trong các đơn vị thuộc và trực thuộc Sở; thực hiện chế độ tiền lương và chính sách, chế độ đãi ngộ, khen thưởng, kỷ luật, đánh giá chất lượng đối với công chức, viên chức, người lao động thuộc phạm vi quản lý của Sở Y tế theo quy định của pháp luật và theo sự phân công, phân cấp hoặc ủy quyền của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27. Hướng dẫn, kiểm tra việc thực hiện cơ chế tự chủ đối với các đơn vị sự nghiệp công lập thuộc ngành, lĩnh vực theo quy định của pháp luật; quản lý hoạt động của các đơn vị sự nghiệp trong và ngoài công lập thuộc phạm vi quản lý của ngành, lĩnh vực.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28. Quản lý và chịu trách nhiệm về tài chính, tài sản được giao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29. Thực hiện công tác thông tin, báo cáo định kỳ, đột xuất về tình hình thực hiện nhiệm vụ được giao với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và Bộ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30. Thường trực cho tổ chức phối hợp liên ngành của tỉnh theo ngành, lĩnh vực phụ trách; thực hiện nhiệm vụ theo phân cấp, ủy quyền và các nhiệm vụ khác do </w:t>
      </w:r>
      <w:r w:rsidR="00237E6E"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giao theo quy định của pháp luật.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b/>
          <w:bCs/>
          <w:szCs w:val="28"/>
        </w:rPr>
        <w:t xml:space="preserve">Điều 3. </w:t>
      </w:r>
      <w:r w:rsidRPr="00A45849">
        <w:rPr>
          <w:rFonts w:asciiTheme="majorHAnsi" w:hAnsiTheme="majorHAnsi" w:cstheme="majorHAnsi"/>
          <w:szCs w:val="28"/>
        </w:rPr>
        <w:t>Cơ cấu tổ chức của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1. Các tổ chức tham mưu tổng hợp và chuyên môn nghiệp vụ thuộc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Văn phòng;</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Phòng Tổ chức cán bộ;</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Phòng Nghiệp vụ Y - Dược;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d) Phòng Kế hoạch - Tài chính;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e) Phòng Bảo trợ xã hội và phòng, chống tệ nạn xã hội.</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2. Các Chi cục thuộc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a) Chi cục Dân số;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Chi cục An toàn vệ sinh thực phẩm.</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3. Các đơn vị sự nghiệp trực thuộc Sở Y tế</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a) Các bệnh viện đa khoa và chuyên khoa tuyến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Y Dược cổ truyền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Phục hồi chức năng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Phong và Da liễu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Nội tiết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Tâm thần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Phổi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Mắt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b) Các Trung tâm tuyến tỉnh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Trung tâm Kiểm soát bệnh tật;</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Trung tâm Kiểm nghiệm thuốc, mỹ phẩm, thực phẩm;</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Trung tâm Pháp y - Giám định y khoa;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Trung tâm Bảo trợ xã hội.</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c) Các bệnh viện đa khoa khu vực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Phù Yên;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Bắc Yên;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Mường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Quỳnh Nhai;</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Thuận Châu;</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Sông Mã;</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Sốp Cộp;</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Mai Sơn;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Yên Châu;</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Mộc Châu;</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Bệnh viện đa khoa khu vực Vân Hồ.</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d) Các trung tâm y tế khu vực</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Trung tâm Y tế khu vực Phù Yên;</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 Trung tâm Y tế khu vực Bắc Yên; </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Trung tâm Y tế khu vực Mường La; - Trung tâm Y tế khu vực Quỳnh Nhai; - Trung tâm Y tế khu vực Thuận Châu; - Trung tâm Y tế khu vực Sông Mã; - Trung tâm Y tế khu vực Sốp Cộp; - Trung tâm Y tế khu vực Sơn La; - Trung tâm Y tế khu vực Mai Sơn; - Trung tâm Y tế khu vực Yên Châu; - Trung tâm Y tế khu vực Mộc Châu; - Trung tâm Y tế khu vực Vân Hồ.</w:t>
      </w:r>
    </w:p>
    <w:p w:rsidR="00A45849" w:rsidRDefault="00A45849"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b/>
          <w:bCs/>
          <w:szCs w:val="28"/>
          <w:lang w:val="en-US"/>
        </w:rPr>
      </w:pPr>
    </w:p>
    <w:p w:rsidR="00A45849" w:rsidRDefault="00A45849"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b/>
          <w:bCs/>
          <w:szCs w:val="28"/>
          <w:lang w:val="en-US"/>
        </w:rPr>
      </w:pP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b/>
          <w:bCs/>
          <w:szCs w:val="28"/>
        </w:rPr>
        <w:t xml:space="preserve">Điều 4. </w:t>
      </w:r>
      <w:r w:rsidRPr="00A45849">
        <w:rPr>
          <w:rFonts w:asciiTheme="majorHAnsi" w:hAnsiTheme="majorHAnsi" w:cstheme="majorHAnsi"/>
          <w:szCs w:val="28"/>
        </w:rPr>
        <w:t>Hiệu lực thi hành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szCs w:val="28"/>
        </w:rPr>
        <w:t xml:space="preserve">Quyết định này có hiệu lực thi hành kể từ ngày 28 tháng 7 năm 2025, thay thế Quyết định số 15/2025/QĐ-UBND ngày 26 tháng 02 năm 2025 của </w:t>
      </w:r>
      <w:r w:rsidR="005B3B1F"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Sơn La về việc quy định chức năng, nhiệm vụ, quyền hạn và cơ cấu tổ chức của Sở Y tế tỉnh Sơn La.</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rPr>
      </w:pPr>
      <w:r w:rsidRPr="00A45849">
        <w:rPr>
          <w:rFonts w:asciiTheme="majorHAnsi" w:hAnsiTheme="majorHAnsi" w:cstheme="majorHAnsi"/>
          <w:b/>
          <w:bCs/>
          <w:szCs w:val="28"/>
        </w:rPr>
        <w:t xml:space="preserve">Điều 5. </w:t>
      </w:r>
      <w:r w:rsidRPr="00A45849">
        <w:rPr>
          <w:rFonts w:asciiTheme="majorHAnsi" w:hAnsiTheme="majorHAnsi" w:cstheme="majorHAnsi"/>
          <w:szCs w:val="28"/>
        </w:rPr>
        <w:t>Trách nhiệm thi hành</w:t>
      </w:r>
    </w:p>
    <w:p w:rsidR="0046792A" w:rsidRPr="00A45849" w:rsidRDefault="0046792A" w:rsidP="00A45849">
      <w:pPr>
        <w:widowControl w:val="0"/>
        <w:pBdr>
          <w:top w:val="dotted" w:sz="4" w:space="0" w:color="FFFFFF"/>
          <w:left w:val="dotted" w:sz="4" w:space="0" w:color="FFFFFF"/>
          <w:bottom w:val="dotted" w:sz="4" w:space="12" w:color="FFFFFF"/>
          <w:right w:val="dotted" w:sz="4" w:space="0" w:color="FFFFFF"/>
        </w:pBdr>
        <w:shd w:val="clear" w:color="auto" w:fill="FFFFFF"/>
        <w:spacing w:before="140" w:after="0" w:line="240" w:lineRule="auto"/>
        <w:ind w:firstLine="720"/>
        <w:rPr>
          <w:rFonts w:asciiTheme="majorHAnsi" w:hAnsiTheme="majorHAnsi" w:cstheme="majorHAnsi"/>
          <w:szCs w:val="28"/>
          <w:lang w:val="en-US"/>
        </w:rPr>
      </w:pPr>
      <w:r w:rsidRPr="00A45849">
        <w:rPr>
          <w:rFonts w:asciiTheme="majorHAnsi" w:hAnsiTheme="majorHAnsi" w:cstheme="majorHAnsi"/>
          <w:szCs w:val="28"/>
        </w:rPr>
        <w:t xml:space="preserve">Chánh Văn phòng </w:t>
      </w:r>
      <w:r w:rsidR="005B3B1F" w:rsidRPr="00A45849">
        <w:rPr>
          <w:rFonts w:asciiTheme="majorHAnsi" w:hAnsiTheme="majorHAnsi" w:cstheme="majorHAnsi"/>
          <w:szCs w:val="28"/>
          <w:lang w:val="en-US"/>
        </w:rPr>
        <w:t>UBND</w:t>
      </w:r>
      <w:r w:rsidRPr="00A45849">
        <w:rPr>
          <w:rFonts w:asciiTheme="majorHAnsi" w:hAnsiTheme="majorHAnsi" w:cstheme="majorHAnsi"/>
          <w:szCs w:val="28"/>
        </w:rPr>
        <w:t xml:space="preserve"> tỉnh, Giám đốc Sở Y tế; Thủ trưởng các sở, ban, ngành tỉnh; Chủ tịch </w:t>
      </w:r>
      <w:r w:rsidR="005B3B1F" w:rsidRPr="00A45849">
        <w:rPr>
          <w:rFonts w:asciiTheme="majorHAnsi" w:hAnsiTheme="majorHAnsi" w:cstheme="majorHAnsi"/>
          <w:szCs w:val="28"/>
          <w:lang w:val="en-US"/>
        </w:rPr>
        <w:t>UBND</w:t>
      </w:r>
      <w:r w:rsidRPr="00A45849">
        <w:rPr>
          <w:rFonts w:asciiTheme="majorHAnsi" w:hAnsiTheme="majorHAnsi" w:cstheme="majorHAnsi"/>
          <w:szCs w:val="28"/>
        </w:rPr>
        <w:t xml:space="preserve"> các xã, phường và các tổ chức, cá nhân có liên quan chịu trách nhiệm thi hành Quyết định này./. </w:t>
      </w:r>
    </w:p>
    <w:tbl>
      <w:tblPr>
        <w:tblW w:w="9809" w:type="dxa"/>
        <w:jc w:val="center"/>
        <w:shd w:val="clear" w:color="auto" w:fill="FFFFFF"/>
        <w:tblCellMar>
          <w:left w:w="0" w:type="dxa"/>
          <w:right w:w="0" w:type="dxa"/>
        </w:tblCellMar>
        <w:tblLook w:val="04A0" w:firstRow="1" w:lastRow="0" w:firstColumn="1" w:lastColumn="0" w:noHBand="0" w:noVBand="1"/>
      </w:tblPr>
      <w:tblGrid>
        <w:gridCol w:w="4955"/>
        <w:gridCol w:w="4854"/>
      </w:tblGrid>
      <w:tr w:rsidR="00775DD4" w:rsidRPr="00BA6729" w:rsidTr="005B3B1F">
        <w:trPr>
          <w:trHeight w:val="1346"/>
          <w:jc w:val="center"/>
        </w:trPr>
        <w:tc>
          <w:tcPr>
            <w:tcW w:w="4955" w:type="dxa"/>
            <w:shd w:val="clear" w:color="auto" w:fill="FFFFFF"/>
            <w:tcMar>
              <w:top w:w="0" w:type="dxa"/>
              <w:left w:w="108" w:type="dxa"/>
              <w:bottom w:w="0" w:type="dxa"/>
              <w:right w:w="108" w:type="dxa"/>
            </w:tcMar>
            <w:hideMark/>
          </w:tcPr>
          <w:p w:rsidR="00775DD4" w:rsidRDefault="00775DD4" w:rsidP="00E620EA">
            <w:pPr>
              <w:spacing w:after="0"/>
              <w:rPr>
                <w:rFonts w:eastAsia="Times New Roman"/>
                <w:b/>
                <w:bCs/>
                <w:i/>
                <w:iCs/>
                <w:sz w:val="24"/>
                <w:szCs w:val="24"/>
                <w:lang w:val="en-US"/>
              </w:rPr>
            </w:pPr>
            <w:r>
              <w:rPr>
                <w:rFonts w:eastAsia="Times New Roman"/>
                <w:b/>
                <w:bCs/>
                <w:i/>
                <w:iCs/>
                <w:sz w:val="24"/>
                <w:szCs w:val="24"/>
              </w:rPr>
              <w:t xml:space="preserve"> </w:t>
            </w:r>
          </w:p>
          <w:p w:rsidR="006B5759" w:rsidRPr="006B5759" w:rsidRDefault="006B5759" w:rsidP="00E620EA">
            <w:pPr>
              <w:spacing w:after="0"/>
              <w:rPr>
                <w:rFonts w:eastAsia="Times New Roman"/>
                <w:b/>
                <w:bCs/>
                <w:i/>
                <w:iCs/>
                <w:sz w:val="24"/>
                <w:szCs w:val="24"/>
                <w:lang w:val="en-US"/>
              </w:rPr>
            </w:pPr>
          </w:p>
        </w:tc>
        <w:tc>
          <w:tcPr>
            <w:tcW w:w="4854" w:type="dxa"/>
            <w:shd w:val="clear" w:color="auto" w:fill="FFFFFF"/>
            <w:tcMar>
              <w:top w:w="0" w:type="dxa"/>
              <w:left w:w="108" w:type="dxa"/>
              <w:bottom w:w="0" w:type="dxa"/>
              <w:right w:w="108" w:type="dxa"/>
            </w:tcMar>
            <w:hideMark/>
          </w:tcPr>
          <w:p w:rsidR="00775DD4" w:rsidRPr="00BA6729" w:rsidRDefault="00775DD4" w:rsidP="005B3B1F">
            <w:pPr>
              <w:spacing w:after="0"/>
              <w:jc w:val="center"/>
              <w:outlineLvl w:val="0"/>
              <w:rPr>
                <w:rFonts w:eastAsia="Times New Roman"/>
                <w:b/>
                <w:bCs/>
                <w:kern w:val="36"/>
              </w:rPr>
            </w:pPr>
            <w:r w:rsidRPr="002C6516">
              <w:rPr>
                <w:rFonts w:eastAsia="Times New Roman"/>
                <w:b/>
                <w:bCs/>
                <w:kern w:val="36"/>
                <w:sz w:val="26"/>
                <w:szCs w:val="26"/>
              </w:rPr>
              <w:t>TM. UỶ BAN NHÂN DÂN</w:t>
            </w:r>
            <w:r w:rsidRPr="002C6516">
              <w:rPr>
                <w:rFonts w:eastAsia="Times New Roman"/>
                <w:b/>
                <w:bCs/>
                <w:kern w:val="36"/>
                <w:sz w:val="26"/>
                <w:szCs w:val="26"/>
              </w:rPr>
              <w:br/>
            </w:r>
            <w:r w:rsidRPr="002C6516">
              <w:rPr>
                <w:rFonts w:eastAsia="Times New Roman"/>
                <w:b/>
                <w:bCs/>
                <w:kern w:val="36"/>
                <w:sz w:val="26"/>
                <w:szCs w:val="26"/>
                <w:lang w:val="de-DE"/>
              </w:rPr>
              <w:t>CHỦ TỊCH</w:t>
            </w:r>
            <w:r w:rsidRPr="00BA6729">
              <w:rPr>
                <w:rFonts w:eastAsia="Times New Roman"/>
                <w:b/>
                <w:bCs/>
                <w:kern w:val="36"/>
              </w:rPr>
              <w:br/>
            </w:r>
            <w:r w:rsidRPr="00BA6729">
              <w:rPr>
                <w:rFonts w:eastAsia="Times New Roman"/>
                <w:b/>
                <w:bCs/>
                <w:kern w:val="36"/>
              </w:rPr>
              <w:br/>
            </w:r>
            <w:r w:rsidRPr="00BA6729">
              <w:rPr>
                <w:rFonts w:eastAsia="Times New Roman"/>
                <w:b/>
                <w:bCs/>
                <w:kern w:val="36"/>
                <w:lang w:val="de-DE"/>
              </w:rPr>
              <w:t>Nguyễn Đình Việt</w:t>
            </w:r>
          </w:p>
        </w:tc>
      </w:tr>
    </w:tbl>
    <w:p w:rsidR="004308BD" w:rsidRDefault="004308BD"/>
    <w:sectPr w:rsidR="004308BD" w:rsidSect="00775DD4">
      <w:headerReference w:type="default" r:id="rId6"/>
      <w:footerReference w:type="default" r:id="rId7"/>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29D" w:rsidRDefault="006A129D">
      <w:pPr>
        <w:spacing w:after="0" w:line="240" w:lineRule="auto"/>
      </w:pPr>
      <w:r>
        <w:separator/>
      </w:r>
    </w:p>
  </w:endnote>
  <w:endnote w:type="continuationSeparator" w:id="0">
    <w:p w:rsidR="006A129D" w:rsidRDefault="006A1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ED" w:rsidRDefault="006826ED">
    <w:pPr>
      <w:pStyle w:val="Footer"/>
      <w:jc w:val="right"/>
    </w:pPr>
  </w:p>
  <w:p w:rsidR="006826ED" w:rsidRDefault="00682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29D" w:rsidRDefault="006A129D">
      <w:pPr>
        <w:spacing w:after="0" w:line="240" w:lineRule="auto"/>
      </w:pPr>
      <w:r>
        <w:separator/>
      </w:r>
    </w:p>
  </w:footnote>
  <w:footnote w:type="continuationSeparator" w:id="0">
    <w:p w:rsidR="006A129D" w:rsidRDefault="006A1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ED" w:rsidRDefault="006826ED" w:rsidP="00A409E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726A4"/>
    <w:rsid w:val="000F728D"/>
    <w:rsid w:val="000F72BD"/>
    <w:rsid w:val="00111A34"/>
    <w:rsid w:val="001125DA"/>
    <w:rsid w:val="001E3310"/>
    <w:rsid w:val="00201729"/>
    <w:rsid w:val="00237E6E"/>
    <w:rsid w:val="00266F6F"/>
    <w:rsid w:val="00276EF1"/>
    <w:rsid w:val="002A19FC"/>
    <w:rsid w:val="00302B17"/>
    <w:rsid w:val="00356C31"/>
    <w:rsid w:val="003A126D"/>
    <w:rsid w:val="003D176F"/>
    <w:rsid w:val="003D6B4B"/>
    <w:rsid w:val="003D7E5F"/>
    <w:rsid w:val="00410380"/>
    <w:rsid w:val="004168EE"/>
    <w:rsid w:val="004308BD"/>
    <w:rsid w:val="004348C1"/>
    <w:rsid w:val="0046792A"/>
    <w:rsid w:val="00492E2C"/>
    <w:rsid w:val="00496283"/>
    <w:rsid w:val="00515FA9"/>
    <w:rsid w:val="00556E8C"/>
    <w:rsid w:val="005A0456"/>
    <w:rsid w:val="005B3B1F"/>
    <w:rsid w:val="005C7615"/>
    <w:rsid w:val="005F543F"/>
    <w:rsid w:val="00607A76"/>
    <w:rsid w:val="006178F1"/>
    <w:rsid w:val="00647704"/>
    <w:rsid w:val="00650FCF"/>
    <w:rsid w:val="00655F69"/>
    <w:rsid w:val="006826ED"/>
    <w:rsid w:val="00692FE0"/>
    <w:rsid w:val="006A129D"/>
    <w:rsid w:val="006A1DBB"/>
    <w:rsid w:val="006B5759"/>
    <w:rsid w:val="006D6185"/>
    <w:rsid w:val="00716E67"/>
    <w:rsid w:val="007313ED"/>
    <w:rsid w:val="00775DD4"/>
    <w:rsid w:val="007942CF"/>
    <w:rsid w:val="00794A81"/>
    <w:rsid w:val="007A4FD5"/>
    <w:rsid w:val="007A4FE7"/>
    <w:rsid w:val="007D661F"/>
    <w:rsid w:val="00821106"/>
    <w:rsid w:val="0088541B"/>
    <w:rsid w:val="008E4F3D"/>
    <w:rsid w:val="008E7A47"/>
    <w:rsid w:val="00921960"/>
    <w:rsid w:val="00991C6A"/>
    <w:rsid w:val="009E1A02"/>
    <w:rsid w:val="009E4F5D"/>
    <w:rsid w:val="009F160F"/>
    <w:rsid w:val="00A41B68"/>
    <w:rsid w:val="00A45849"/>
    <w:rsid w:val="00A703CF"/>
    <w:rsid w:val="00A957A4"/>
    <w:rsid w:val="00AB6AF0"/>
    <w:rsid w:val="00AC41BD"/>
    <w:rsid w:val="00B359DD"/>
    <w:rsid w:val="00BC4D29"/>
    <w:rsid w:val="00C043CD"/>
    <w:rsid w:val="00C45106"/>
    <w:rsid w:val="00C9077D"/>
    <w:rsid w:val="00CE424D"/>
    <w:rsid w:val="00D1636A"/>
    <w:rsid w:val="00D8368B"/>
    <w:rsid w:val="00D90FFA"/>
    <w:rsid w:val="00D94123"/>
    <w:rsid w:val="00DD012C"/>
    <w:rsid w:val="00E20CC2"/>
    <w:rsid w:val="00F17585"/>
    <w:rsid w:val="00F37D3B"/>
    <w:rsid w:val="00FB38B5"/>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DF6B"/>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34290">
      <w:bodyDiv w:val="1"/>
      <w:marLeft w:val="0"/>
      <w:marRight w:val="0"/>
      <w:marTop w:val="0"/>
      <w:marBottom w:val="0"/>
      <w:divBdr>
        <w:top w:val="none" w:sz="0" w:space="0" w:color="auto"/>
        <w:left w:val="none" w:sz="0" w:space="0" w:color="auto"/>
        <w:bottom w:val="none" w:sz="0" w:space="0" w:color="auto"/>
        <w:right w:val="none" w:sz="0" w:space="0" w:color="auto"/>
      </w:divBdr>
    </w:div>
    <w:div w:id="550922582">
      <w:bodyDiv w:val="1"/>
      <w:marLeft w:val="0"/>
      <w:marRight w:val="0"/>
      <w:marTop w:val="0"/>
      <w:marBottom w:val="0"/>
      <w:divBdr>
        <w:top w:val="none" w:sz="0" w:space="0" w:color="auto"/>
        <w:left w:val="none" w:sz="0" w:space="0" w:color="auto"/>
        <w:bottom w:val="none" w:sz="0" w:space="0" w:color="auto"/>
        <w:right w:val="none" w:sz="0" w:space="0" w:color="auto"/>
      </w:divBdr>
    </w:div>
    <w:div w:id="551891945">
      <w:bodyDiv w:val="1"/>
      <w:marLeft w:val="0"/>
      <w:marRight w:val="0"/>
      <w:marTop w:val="0"/>
      <w:marBottom w:val="0"/>
      <w:divBdr>
        <w:top w:val="none" w:sz="0" w:space="0" w:color="auto"/>
        <w:left w:val="none" w:sz="0" w:space="0" w:color="auto"/>
        <w:bottom w:val="none" w:sz="0" w:space="0" w:color="auto"/>
        <w:right w:val="none" w:sz="0" w:space="0" w:color="auto"/>
      </w:divBdr>
    </w:div>
    <w:div w:id="554048098">
      <w:bodyDiv w:val="1"/>
      <w:marLeft w:val="0"/>
      <w:marRight w:val="0"/>
      <w:marTop w:val="0"/>
      <w:marBottom w:val="0"/>
      <w:divBdr>
        <w:top w:val="none" w:sz="0" w:space="0" w:color="auto"/>
        <w:left w:val="none" w:sz="0" w:space="0" w:color="auto"/>
        <w:bottom w:val="none" w:sz="0" w:space="0" w:color="auto"/>
        <w:right w:val="none" w:sz="0" w:space="0" w:color="auto"/>
      </w:divBdr>
    </w:div>
    <w:div w:id="582497385">
      <w:bodyDiv w:val="1"/>
      <w:marLeft w:val="0"/>
      <w:marRight w:val="0"/>
      <w:marTop w:val="0"/>
      <w:marBottom w:val="0"/>
      <w:divBdr>
        <w:top w:val="none" w:sz="0" w:space="0" w:color="auto"/>
        <w:left w:val="none" w:sz="0" w:space="0" w:color="auto"/>
        <w:bottom w:val="none" w:sz="0" w:space="0" w:color="auto"/>
        <w:right w:val="none" w:sz="0" w:space="0" w:color="auto"/>
      </w:divBdr>
    </w:div>
    <w:div w:id="887762062">
      <w:bodyDiv w:val="1"/>
      <w:marLeft w:val="0"/>
      <w:marRight w:val="0"/>
      <w:marTop w:val="0"/>
      <w:marBottom w:val="0"/>
      <w:divBdr>
        <w:top w:val="none" w:sz="0" w:space="0" w:color="auto"/>
        <w:left w:val="none" w:sz="0" w:space="0" w:color="auto"/>
        <w:bottom w:val="none" w:sz="0" w:space="0" w:color="auto"/>
        <w:right w:val="none" w:sz="0" w:space="0" w:color="auto"/>
      </w:divBdr>
    </w:div>
    <w:div w:id="1234582361">
      <w:bodyDiv w:val="1"/>
      <w:marLeft w:val="0"/>
      <w:marRight w:val="0"/>
      <w:marTop w:val="0"/>
      <w:marBottom w:val="0"/>
      <w:divBdr>
        <w:top w:val="none" w:sz="0" w:space="0" w:color="auto"/>
        <w:left w:val="none" w:sz="0" w:space="0" w:color="auto"/>
        <w:bottom w:val="none" w:sz="0" w:space="0" w:color="auto"/>
        <w:right w:val="none" w:sz="0" w:space="0" w:color="auto"/>
      </w:divBdr>
    </w:div>
    <w:div w:id="1558083202">
      <w:bodyDiv w:val="1"/>
      <w:marLeft w:val="0"/>
      <w:marRight w:val="0"/>
      <w:marTop w:val="0"/>
      <w:marBottom w:val="0"/>
      <w:divBdr>
        <w:top w:val="none" w:sz="0" w:space="0" w:color="auto"/>
        <w:left w:val="none" w:sz="0" w:space="0" w:color="auto"/>
        <w:bottom w:val="none" w:sz="0" w:space="0" w:color="auto"/>
        <w:right w:val="none" w:sz="0" w:space="0" w:color="auto"/>
      </w:divBdr>
    </w:div>
    <w:div w:id="1869099251">
      <w:bodyDiv w:val="1"/>
      <w:marLeft w:val="0"/>
      <w:marRight w:val="0"/>
      <w:marTop w:val="0"/>
      <w:marBottom w:val="0"/>
      <w:divBdr>
        <w:top w:val="none" w:sz="0" w:space="0" w:color="auto"/>
        <w:left w:val="none" w:sz="0" w:space="0" w:color="auto"/>
        <w:bottom w:val="none" w:sz="0" w:space="0" w:color="auto"/>
        <w:right w:val="none" w:sz="0" w:space="0" w:color="auto"/>
      </w:divBdr>
    </w:div>
    <w:div w:id="2096660453">
      <w:bodyDiv w:val="1"/>
      <w:marLeft w:val="0"/>
      <w:marRight w:val="0"/>
      <w:marTop w:val="0"/>
      <w:marBottom w:val="0"/>
      <w:divBdr>
        <w:top w:val="none" w:sz="0" w:space="0" w:color="auto"/>
        <w:left w:val="none" w:sz="0" w:space="0" w:color="auto"/>
        <w:bottom w:val="none" w:sz="0" w:space="0" w:color="auto"/>
        <w:right w:val="none" w:sz="0" w:space="0" w:color="auto"/>
      </w:divBdr>
    </w:div>
    <w:div w:id="21384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10</Pages>
  <Words>3100</Words>
  <Characters>17671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50</cp:revision>
  <dcterms:created xsi:type="dcterms:W3CDTF">2025-07-30T09:04:00Z</dcterms:created>
  <dcterms:modified xsi:type="dcterms:W3CDTF">2025-08-06T04:06:00Z</dcterms:modified>
</cp:coreProperties>
</file>